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444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w:t>
      </w:r>
    </w:p>
    <w:p w14:paraId="1C722014">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60730DD7">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44A49F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37973CC">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C33E067">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b/>
                <w:color w:val="000000"/>
                <w:sz w:val="24"/>
                <w:szCs w:val="24"/>
                <w:lang w:val="en-US" w:eastAsia="zh-CN"/>
              </w:rPr>
            </w:pPr>
            <w:r>
              <w:rPr>
                <w:rFonts w:hint="eastAsia" w:ascii="Times New Roman" w:hAnsi="Times New Roman" w:eastAsia="仿宋_GB2312" w:cs="Times New Roman"/>
                <w:color w:val="auto"/>
                <w:sz w:val="32"/>
                <w:szCs w:val="32"/>
                <w:lang w:val="en-US" w:eastAsia="zh-CN"/>
              </w:rPr>
              <w:t>许昌市2025年城市更新供热基础设施工程</w:t>
            </w:r>
            <w:r>
              <w:rPr>
                <w:rFonts w:hint="default" w:ascii="Times New Roman" w:hAnsi="Times New Roman" w:eastAsia="仿宋_GB2312" w:cs="Times New Roman"/>
                <w:color w:val="auto"/>
                <w:sz w:val="32"/>
                <w:szCs w:val="32"/>
                <w:lang w:val="en-US" w:eastAsia="zh-CN"/>
              </w:rPr>
              <w:t>申报政府专项债实施方案咨询服务</w:t>
            </w:r>
            <w:bookmarkStart w:id="0" w:name="_GoBack"/>
            <w:bookmarkEnd w:id="0"/>
            <w:r>
              <w:rPr>
                <w:rFonts w:hint="eastAsia" w:eastAsia="仿宋_GB2312" w:cs="Times New Roman"/>
                <w:color w:val="auto"/>
                <w:sz w:val="32"/>
                <w:szCs w:val="32"/>
                <w:lang w:val="en-US" w:eastAsia="zh-CN"/>
              </w:rPr>
              <w:t>比选</w:t>
            </w:r>
          </w:p>
        </w:tc>
      </w:tr>
      <w:tr w14:paraId="097E9B9D">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2F1A0E56">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7E289EBF">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7526767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080FA51">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60201582">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2855803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04DABC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0DAF3858">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0A390BE6">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FB1FA48">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199F3F93">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72C0DFF0">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C945E36">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6CBE669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p>
        </w:tc>
      </w:tr>
    </w:tbl>
    <w:p w14:paraId="0BFA6BB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2EABCA1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474BB172">
      <w:pPr>
        <w:pStyle w:val="9"/>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3E4C5B80">
      <w:pPr>
        <w:rPr>
          <w:rFonts w:hint="default" w:ascii="Times New Roman" w:hAnsi="Times New Roman" w:eastAsia="仿宋_GB2312" w:cs="Times New Roman"/>
          <w:sz w:val="32"/>
          <w:szCs w:val="32"/>
          <w:highlight w:val="none"/>
          <w:lang w:val="en-US" w:eastAsia="zh-CN"/>
        </w:rPr>
      </w:pPr>
    </w:p>
    <w:p w14:paraId="71CE3DEC">
      <w:pPr>
        <w:rPr>
          <w:rFonts w:hint="default" w:ascii="Times New Roman" w:hAnsi="Times New Roman" w:eastAsia="仿宋_GB2312" w:cs="Times New Roman"/>
          <w:sz w:val="32"/>
          <w:szCs w:val="32"/>
          <w:highlight w:val="none"/>
          <w:lang w:val="en-US" w:eastAsia="zh-CN"/>
        </w:rPr>
      </w:pPr>
    </w:p>
    <w:p w14:paraId="0980394B">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5F8E9874">
      <w:pPr>
        <w:pStyle w:val="10"/>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6D3680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5CF22C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D3D95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3665AA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24B316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09CD26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458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08274823">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1B103667">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总分100分</w:t>
            </w:r>
            <w:r>
              <w:rPr>
                <w:rFonts w:hint="eastAsia" w:eastAsia="仿宋_GB2312" w:cs="Times New Roman"/>
                <w:sz w:val="32"/>
                <w:szCs w:val="32"/>
                <w:lang w:val="zh-CN"/>
              </w:rPr>
              <w:t>）</w:t>
            </w:r>
          </w:p>
        </w:tc>
        <w:tc>
          <w:tcPr>
            <w:tcW w:w="6786" w:type="dxa"/>
            <w:vAlign w:val="center"/>
          </w:tcPr>
          <w:p w14:paraId="53FDD971">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zh-CN"/>
              </w:rPr>
              <w:t>分</w:t>
            </w:r>
          </w:p>
          <w:p w14:paraId="497E8A5D">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eastAsia" w:eastAsia="仿宋_GB2312" w:cs="Times New Roman"/>
                <w:sz w:val="32"/>
                <w:szCs w:val="32"/>
                <w:lang w:val="en-US" w:eastAsia="zh-CN"/>
              </w:rPr>
              <w:t xml:space="preserve"> 35</w:t>
            </w:r>
            <w:r>
              <w:rPr>
                <w:rFonts w:hint="default" w:ascii="Times New Roman" w:hAnsi="Times New Roman" w:eastAsia="仿宋_GB2312" w:cs="Times New Roman"/>
                <w:sz w:val="32"/>
                <w:szCs w:val="32"/>
                <w:lang w:val="zh-CN" w:eastAsia="zh-CN"/>
              </w:rPr>
              <w:t xml:space="preserve"> 分</w:t>
            </w:r>
          </w:p>
          <w:p w14:paraId="438C015E">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361F9A3B">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 xml:space="preserve">管理机构： </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 xml:space="preserve"> 分</w:t>
            </w:r>
          </w:p>
        </w:tc>
      </w:tr>
      <w:tr w14:paraId="523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29BD1C9F">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6786" w:type="dxa"/>
            <w:tcMar>
              <w:top w:w="0" w:type="dxa"/>
              <w:left w:w="0" w:type="dxa"/>
              <w:bottom w:w="0" w:type="dxa"/>
              <w:right w:w="0" w:type="dxa"/>
            </w:tcMar>
            <w:vAlign w:val="center"/>
          </w:tcPr>
          <w:p w14:paraId="6A7DB7C0">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0AD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7DF4C8E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6BE46B05">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分）</w:t>
            </w:r>
          </w:p>
        </w:tc>
        <w:tc>
          <w:tcPr>
            <w:tcW w:w="6786" w:type="dxa"/>
            <w:tcMar>
              <w:top w:w="0" w:type="dxa"/>
              <w:left w:w="0" w:type="dxa"/>
              <w:bottom w:w="0" w:type="dxa"/>
              <w:right w:w="0" w:type="dxa"/>
            </w:tcMar>
            <w:vAlign w:val="center"/>
          </w:tcPr>
          <w:p w14:paraId="05C22C73">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1.收费超过</w:t>
            </w:r>
            <w:r>
              <w:rPr>
                <w:rFonts w:hint="default" w:ascii="Times New Roman" w:hAnsi="Times New Roman" w:eastAsia="仿宋_GB2312" w:cs="Times New Roman"/>
                <w:sz w:val="32"/>
                <w:szCs w:val="32"/>
                <w:lang w:val="en-US" w:eastAsia="zh-CN"/>
              </w:rPr>
              <w:t>控制价的</w:t>
            </w:r>
            <w:r>
              <w:rPr>
                <w:rFonts w:hint="default" w:ascii="Times New Roman" w:hAnsi="Times New Roman" w:eastAsia="仿宋_GB2312" w:cs="Times New Roman"/>
                <w:sz w:val="32"/>
                <w:szCs w:val="32"/>
                <w:lang w:val="zh-CN"/>
              </w:rPr>
              <w:t>为无效报价；</w:t>
            </w:r>
          </w:p>
          <w:p w14:paraId="419113B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评标基准价：</w:t>
            </w:r>
            <w:r>
              <w:rPr>
                <w:rFonts w:hint="default" w:ascii="Times New Roman" w:hAnsi="Times New Roman" w:eastAsia="仿宋_GB2312" w:cs="Times New Roman"/>
                <w:color w:val="auto"/>
                <w:sz w:val="32"/>
                <w:szCs w:val="32"/>
                <w:highlight w:val="none"/>
                <w:lang w:val="en-US" w:eastAsia="zh-CN"/>
              </w:rPr>
              <w:t>所有参与的比选申请人最低的有效报价为基准报价</w:t>
            </w:r>
            <w:r>
              <w:rPr>
                <w:rFonts w:hint="eastAsia" w:ascii="Times New Roman" w:hAnsi="Times New Roman" w:eastAsia="仿宋_GB2312" w:cs="Times New Roman"/>
                <w:color w:val="auto"/>
                <w:sz w:val="32"/>
                <w:szCs w:val="32"/>
                <w:highlight w:val="none"/>
                <w:lang w:val="en-US" w:eastAsia="zh-CN"/>
              </w:rPr>
              <w:t>。</w:t>
            </w:r>
          </w:p>
          <w:p w14:paraId="0744E81D">
            <w:pPr>
              <w:widowControl/>
              <w:spacing w:line="440" w:lineRule="exact"/>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3.报价得分=（基准报价/报价）×25分。</w:t>
            </w:r>
          </w:p>
        </w:tc>
      </w:tr>
      <w:tr w14:paraId="74C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913" w:type="dxa"/>
            <w:tcMar>
              <w:top w:w="0" w:type="dxa"/>
              <w:left w:w="0" w:type="dxa"/>
              <w:bottom w:w="0" w:type="dxa"/>
              <w:right w:w="0" w:type="dxa"/>
            </w:tcMar>
            <w:vAlign w:val="center"/>
          </w:tcPr>
          <w:p w14:paraId="45E1142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4048F98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（30分）</w:t>
            </w:r>
          </w:p>
        </w:tc>
        <w:tc>
          <w:tcPr>
            <w:tcW w:w="6786" w:type="dxa"/>
            <w:tcMar>
              <w:top w:w="0" w:type="dxa"/>
              <w:left w:w="0" w:type="dxa"/>
              <w:bottom w:w="0" w:type="dxa"/>
              <w:right w:w="0" w:type="dxa"/>
            </w:tcMar>
            <w:vAlign w:val="center"/>
          </w:tcPr>
          <w:p w14:paraId="19B71211">
            <w:pPr>
              <w:widowControl/>
              <w:spacing w:line="440" w:lineRule="exact"/>
              <w:jc w:val="left"/>
              <w:textAlignment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1.提供项目实施方案咨询服务时间安排优秀的得8—15分，良好的得1—7分，没有不得分；</w:t>
            </w:r>
          </w:p>
          <w:p w14:paraId="33FF0B29">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2.服务方案详细、全面、可行，在此次申报政府专项债过程中</w:t>
            </w:r>
            <w:r>
              <w:rPr>
                <w:rFonts w:hint="eastAsia" w:eastAsia="仿宋_GB2312" w:cs="Times New Roman"/>
                <w:sz w:val="32"/>
                <w:szCs w:val="32"/>
                <w:lang w:val="en-US" w:eastAsia="zh-CN"/>
              </w:rPr>
              <w:t>与其他服务机构</w:t>
            </w:r>
            <w:r>
              <w:rPr>
                <w:rFonts w:hint="default" w:ascii="Times New Roman" w:hAnsi="Times New Roman" w:eastAsia="仿宋_GB2312" w:cs="Times New Roman"/>
                <w:sz w:val="32"/>
                <w:szCs w:val="32"/>
                <w:lang w:val="en-US" w:eastAsia="zh-CN"/>
              </w:rPr>
              <w:t>协调沟通申报材料的编制及相关资料、数据的收集，包括但不限于申报流程、困难问题、评审意见反馈和解决方案等要素，方案和举措优秀的得11—20分，良好的得1—10分，没有不得分。</w:t>
            </w:r>
          </w:p>
        </w:tc>
      </w:tr>
      <w:tr w14:paraId="474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6739F0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w:t>
            </w:r>
          </w:p>
          <w:p w14:paraId="033BE1E0">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2B7DE2E1">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每有一项2022年1月1日以来成功申报政府专项债项目业绩的得5分，最高20分，（以公示文件时间或者官方网站发布时间为准）并提供服务合同及成功申报政府专项债证明材料。</w:t>
            </w:r>
          </w:p>
        </w:tc>
      </w:tr>
      <w:tr w14:paraId="11B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034B8521">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4594E04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1B6CE000">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项目服务员队中每有1名经济、会计相关中级（含）以上职称或注册会计师资格的成员得5分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最高20分。注：以上人员证书除提供证明文件复印件或扫描件外同时应提供投标人为该人员缴纳近1年内任意连续3个月的社保证明材料，否则不得分。</w:t>
            </w:r>
          </w:p>
        </w:tc>
      </w:tr>
    </w:tbl>
    <w:p w14:paraId="50DD6B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0948AA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500A3D2A">
      <w:pPr>
        <w:pStyle w:val="2"/>
        <w:rPr>
          <w:rFonts w:hint="default" w:ascii="Times New Roman" w:hAnsi="Times New Roman" w:eastAsia="仿宋" w:cs="Times New Roman"/>
          <w:sz w:val="32"/>
          <w:szCs w:val="32"/>
          <w:highlight w:val="none"/>
          <w:lang w:val="en-US" w:eastAsia="zh-CN"/>
        </w:rPr>
      </w:pPr>
    </w:p>
    <w:p w14:paraId="7B375B85">
      <w:pPr>
        <w:pStyle w:val="5"/>
        <w:rPr>
          <w:rFonts w:hint="default" w:ascii="Times New Roman" w:hAnsi="Times New Roman" w:eastAsia="仿宋" w:cs="Times New Roman"/>
          <w:sz w:val="32"/>
          <w:szCs w:val="32"/>
          <w:highlight w:val="none"/>
          <w:lang w:val="en-US" w:eastAsia="zh-CN"/>
        </w:rPr>
      </w:pPr>
    </w:p>
    <w:p w14:paraId="61679A43">
      <w:pPr>
        <w:pStyle w:val="5"/>
        <w:rPr>
          <w:rFonts w:hint="default" w:ascii="Times New Roman" w:hAnsi="Times New Roman" w:eastAsia="仿宋" w:cs="Times New Roman"/>
          <w:sz w:val="32"/>
          <w:szCs w:val="32"/>
          <w:highlight w:val="none"/>
          <w:lang w:val="en-US" w:eastAsia="zh-CN"/>
        </w:rPr>
      </w:pPr>
    </w:p>
    <w:p w14:paraId="1F3DB3A1">
      <w:pPr>
        <w:pStyle w:val="5"/>
        <w:rPr>
          <w:rFonts w:hint="default" w:ascii="Times New Roman" w:hAnsi="Times New Roman" w:eastAsia="仿宋" w:cs="Times New Roman"/>
          <w:sz w:val="32"/>
          <w:szCs w:val="32"/>
          <w:highlight w:val="none"/>
          <w:lang w:val="en-US" w:eastAsia="zh-CN"/>
        </w:rPr>
      </w:pPr>
    </w:p>
    <w:p w14:paraId="4E422AE9">
      <w:pPr>
        <w:pStyle w:val="5"/>
        <w:rPr>
          <w:rFonts w:hint="default" w:ascii="Times New Roman" w:hAnsi="Times New Roman" w:eastAsia="仿宋" w:cs="Times New Roman"/>
          <w:sz w:val="32"/>
          <w:szCs w:val="32"/>
          <w:highlight w:val="none"/>
          <w:lang w:val="en-US" w:eastAsia="zh-CN"/>
        </w:rPr>
      </w:pPr>
    </w:p>
    <w:p w14:paraId="16B8ED1F">
      <w:pPr>
        <w:pStyle w:val="5"/>
        <w:rPr>
          <w:rFonts w:hint="default" w:ascii="Times New Roman" w:hAnsi="Times New Roman" w:eastAsia="仿宋" w:cs="Times New Roman"/>
          <w:sz w:val="32"/>
          <w:szCs w:val="32"/>
          <w:highlight w:val="none"/>
          <w:lang w:val="en-US" w:eastAsia="zh-CN"/>
        </w:rPr>
      </w:pPr>
    </w:p>
    <w:p w14:paraId="5DAD726C">
      <w:pPr>
        <w:pStyle w:val="5"/>
        <w:rPr>
          <w:rFonts w:hint="default" w:ascii="Times New Roman" w:hAnsi="Times New Roman" w:eastAsia="仿宋" w:cs="Times New Roman"/>
          <w:sz w:val="32"/>
          <w:szCs w:val="32"/>
          <w:highlight w:val="none"/>
          <w:lang w:val="en-US" w:eastAsia="zh-CN"/>
        </w:rPr>
      </w:pPr>
    </w:p>
    <w:p w14:paraId="668EF280">
      <w:pPr>
        <w:pStyle w:val="5"/>
        <w:ind w:left="0" w:leftChars="0" w:firstLine="0" w:firstLineChars="0"/>
        <w:rPr>
          <w:rFonts w:hint="default" w:ascii="Times New Roman" w:hAnsi="Times New Roman" w:eastAsia="仿宋" w:cs="Times New Roman"/>
          <w:sz w:val="32"/>
          <w:szCs w:val="32"/>
          <w:highlight w:val="none"/>
          <w:lang w:val="en-US" w:eastAsia="zh-CN"/>
        </w:rPr>
      </w:pPr>
    </w:p>
    <w:p w14:paraId="0EC7A345">
      <w:pPr>
        <w:pStyle w:val="5"/>
        <w:spacing w:before="100" w:after="100"/>
        <w:ind w:left="0" w:leftChars="0"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highlight w:val="none"/>
          <w:lang w:val="en-US" w:eastAsia="zh-CN"/>
        </w:rPr>
        <w:t>附件3：</w:t>
      </w:r>
    </w:p>
    <w:p w14:paraId="5222F0C3">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21B5815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05714BC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5D715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36F6D1F7">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5F35B557">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包括但不限于现金、礼品、有价证券回扣、佣金、提供旅游、娱乐活动等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4C6D5D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26638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453483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56DFFF22">
      <w:pPr>
        <w:ind w:firstLine="6400" w:firstLineChars="2000"/>
        <w:rPr>
          <w:rFonts w:hint="default" w:ascii="Times New Roman" w:hAnsi="Times New Roman" w:eastAsia="仿宋_GB2312" w:cs="Times New Roman"/>
          <w:sz w:val="32"/>
          <w:szCs w:val="32"/>
        </w:rPr>
      </w:pPr>
    </w:p>
    <w:p w14:paraId="5C3A5ED4">
      <w:pPr>
        <w:ind w:firstLine="4160" w:firstLineChars="13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p>
    <w:p w14:paraId="0F9F8FBC">
      <w:pPr>
        <w:ind w:firstLine="4160" w:firstLineChars="1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p w14:paraId="536D144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D7F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60788"/>
    <w:rsid w:val="0477594A"/>
    <w:rsid w:val="065A0AB0"/>
    <w:rsid w:val="07FF36BC"/>
    <w:rsid w:val="087D1CE6"/>
    <w:rsid w:val="0A2C0437"/>
    <w:rsid w:val="0A5114E7"/>
    <w:rsid w:val="0BFD4952"/>
    <w:rsid w:val="0DCD1AE2"/>
    <w:rsid w:val="0E034D62"/>
    <w:rsid w:val="0F1958F7"/>
    <w:rsid w:val="0F7B53AF"/>
    <w:rsid w:val="100B7DD6"/>
    <w:rsid w:val="117E16C8"/>
    <w:rsid w:val="11DF756D"/>
    <w:rsid w:val="11F272A1"/>
    <w:rsid w:val="12E40173"/>
    <w:rsid w:val="13817D1B"/>
    <w:rsid w:val="15997A33"/>
    <w:rsid w:val="17A51BCE"/>
    <w:rsid w:val="19AF0C79"/>
    <w:rsid w:val="1A2226ED"/>
    <w:rsid w:val="1C7F3E11"/>
    <w:rsid w:val="1CEB654E"/>
    <w:rsid w:val="1D933F5E"/>
    <w:rsid w:val="1DC22489"/>
    <w:rsid w:val="1E6710C6"/>
    <w:rsid w:val="221102C8"/>
    <w:rsid w:val="234B5C3C"/>
    <w:rsid w:val="250B339C"/>
    <w:rsid w:val="279F3469"/>
    <w:rsid w:val="27BF38CF"/>
    <w:rsid w:val="283F1AED"/>
    <w:rsid w:val="29E1276B"/>
    <w:rsid w:val="2BC62952"/>
    <w:rsid w:val="2EC3522E"/>
    <w:rsid w:val="309143F1"/>
    <w:rsid w:val="31040B28"/>
    <w:rsid w:val="31187CAE"/>
    <w:rsid w:val="331104CE"/>
    <w:rsid w:val="35AA386B"/>
    <w:rsid w:val="35DA0371"/>
    <w:rsid w:val="36EC5FD8"/>
    <w:rsid w:val="394A0EC1"/>
    <w:rsid w:val="396F1F22"/>
    <w:rsid w:val="39B06AF4"/>
    <w:rsid w:val="3A001C20"/>
    <w:rsid w:val="3B7D13B0"/>
    <w:rsid w:val="3B930354"/>
    <w:rsid w:val="3BFE6232"/>
    <w:rsid w:val="3D1D6AF8"/>
    <w:rsid w:val="3E133130"/>
    <w:rsid w:val="3EBA132E"/>
    <w:rsid w:val="41100796"/>
    <w:rsid w:val="438D7307"/>
    <w:rsid w:val="44A9022F"/>
    <w:rsid w:val="44AA6782"/>
    <w:rsid w:val="454A3AE3"/>
    <w:rsid w:val="46026D68"/>
    <w:rsid w:val="461026EE"/>
    <w:rsid w:val="464042EF"/>
    <w:rsid w:val="47B42BE7"/>
    <w:rsid w:val="47FB2A68"/>
    <w:rsid w:val="4A3D2009"/>
    <w:rsid w:val="4B2116C3"/>
    <w:rsid w:val="4F833EAF"/>
    <w:rsid w:val="51596321"/>
    <w:rsid w:val="56C115DC"/>
    <w:rsid w:val="589C7FC2"/>
    <w:rsid w:val="592D19D8"/>
    <w:rsid w:val="596040BD"/>
    <w:rsid w:val="5CF873CF"/>
    <w:rsid w:val="5D331AE8"/>
    <w:rsid w:val="605B3EA8"/>
    <w:rsid w:val="61215F42"/>
    <w:rsid w:val="629E645C"/>
    <w:rsid w:val="62F72DBF"/>
    <w:rsid w:val="63B41DA5"/>
    <w:rsid w:val="645810E0"/>
    <w:rsid w:val="64E3180B"/>
    <w:rsid w:val="655F1E1A"/>
    <w:rsid w:val="66AA2E1B"/>
    <w:rsid w:val="68F608D3"/>
    <w:rsid w:val="6A865CCF"/>
    <w:rsid w:val="6BA97B57"/>
    <w:rsid w:val="6CAC04F4"/>
    <w:rsid w:val="70722F5B"/>
    <w:rsid w:val="70D44079"/>
    <w:rsid w:val="72D27981"/>
    <w:rsid w:val="768D3F82"/>
    <w:rsid w:val="77E57406"/>
    <w:rsid w:val="79E97840"/>
    <w:rsid w:val="7B291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1006</Words>
  <Characters>1048</Characters>
  <Lines>0</Lines>
  <Paragraphs>0</Paragraphs>
  <TotalTime>0</TotalTime>
  <ScaleCrop>false</ScaleCrop>
  <LinksUpToDate>false</LinksUpToDate>
  <CharactersWithSpaces>1072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2025-09-15T00:40:33Z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BD748DE9810748789095386F373C9E4F_13</vt:lpwstr>
  </property>
  <property fmtid="{D5CDD505-2E9C-101B-9397-08002B2CF9AE}" pid="4" name="commondata">
    <vt:lpwstr>eyJoZGlkIjoiN2I0NDMxMDhhNzIxZjIxM2FiMjFkZWExNzY4MTY3OTUifQ==</vt:lpwstr>
  </property>
  <property fmtid="{D5CDD505-2E9C-101B-9397-08002B2CF9AE}" pid="5" name="KSOTemplateDocerSaveRecord">
    <vt:lpwstr>eyJoZGlkIjoiZjAwOWM3YTY3MTMwZTdlZDU2MDFiNDAxMTM0ZDA0ODYiLCJ1c2VySWQiOiIyNDcxNTk4MzcifQ==</vt:lpwstr>
  </property>
</Properties>
</file>