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0C9">
      <w:pPr>
        <w:widowControl w:val="0"/>
        <w:wordWrap/>
        <w:adjustRightInd w:val="0"/>
        <w:snapToGrid w:val="0"/>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14:paraId="3F01A674">
      <w:pPr>
        <w:shd w:val="clear" w:color="auto" w:fill="auto"/>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报价单</w:t>
      </w:r>
    </w:p>
    <w:p w14:paraId="5B0599A5">
      <w:pPr>
        <w:shd w:val="clear" w:color="auto" w:fill="auto"/>
        <w:spacing w:line="560" w:lineRule="exact"/>
        <w:jc w:val="center"/>
        <w:rPr>
          <w:rFonts w:ascii="仿宋_GB2312" w:hAnsi="仿宋" w:eastAsia="仿宋_GB2312" w:cs="仿宋"/>
          <w:b/>
          <w:sz w:val="32"/>
          <w:szCs w:val="32"/>
        </w:rPr>
      </w:pPr>
    </w:p>
    <w:tbl>
      <w:tblPr>
        <w:tblStyle w:val="14"/>
        <w:tblW w:w="86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0"/>
        <w:gridCol w:w="5483"/>
      </w:tblGrid>
      <w:tr w14:paraId="0E36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3D234266">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项目名称</w:t>
            </w:r>
          </w:p>
        </w:tc>
        <w:tc>
          <w:tcPr>
            <w:tcW w:w="5483" w:type="dxa"/>
            <w:tcBorders>
              <w:top w:val="single" w:color="000000" w:sz="4" w:space="0"/>
              <w:left w:val="single" w:color="000000" w:sz="4" w:space="0"/>
              <w:bottom w:val="single" w:color="000000" w:sz="4" w:space="0"/>
              <w:right w:val="single" w:color="000000" w:sz="4" w:space="0"/>
            </w:tcBorders>
            <w:vAlign w:val="center"/>
          </w:tcPr>
          <w:p w14:paraId="63C4F7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color w:val="000000"/>
                <w:sz w:val="24"/>
                <w:szCs w:val="24"/>
                <w:lang w:val="en-US" w:eastAsia="zh-CN"/>
              </w:rPr>
            </w:pPr>
            <w:r>
              <w:rPr>
                <w:rFonts w:hint="default" w:ascii="仿宋_GB2312" w:hAnsi="仿宋_GB2312" w:eastAsia="仿宋_GB2312" w:cs="仿宋_GB2312"/>
                <w:sz w:val="32"/>
                <w:szCs w:val="32"/>
                <w:highlight w:val="none"/>
                <w:u w:val="none"/>
                <w:lang w:val="en-US" w:eastAsia="zh-CN"/>
              </w:rPr>
              <w:t>许昌市陈庄街(魏武大道-松苑路)打通工程跨小洪河桥</w:t>
            </w:r>
            <w:bookmarkStart w:id="0" w:name="_GoBack"/>
            <w:bookmarkEnd w:id="0"/>
            <w:r>
              <w:rPr>
                <w:rFonts w:hint="default" w:ascii="仿宋_GB2312" w:hAnsi="仿宋_GB2312" w:eastAsia="仿宋_GB2312" w:cs="仿宋_GB2312"/>
                <w:sz w:val="32"/>
                <w:szCs w:val="32"/>
                <w:highlight w:val="none"/>
                <w:u w:val="none"/>
                <w:lang w:val="en-US" w:eastAsia="zh-CN"/>
              </w:rPr>
              <w:t>洪水影响评价服务单位</w:t>
            </w:r>
          </w:p>
        </w:tc>
      </w:tr>
      <w:tr w14:paraId="56B2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right w:val="single" w:color="000000" w:sz="4" w:space="0"/>
            </w:tcBorders>
            <w:vAlign w:val="center"/>
          </w:tcPr>
          <w:p w14:paraId="4A8B1611">
            <w:pPr>
              <w:widowControl/>
              <w:shd w:val="clear" w:color="auto" w:fill="auto"/>
              <w:spacing w:line="560" w:lineRule="exact"/>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申请人</w:t>
            </w:r>
          </w:p>
        </w:tc>
        <w:tc>
          <w:tcPr>
            <w:tcW w:w="5483" w:type="dxa"/>
            <w:tcBorders>
              <w:top w:val="single" w:color="000000" w:sz="4" w:space="0"/>
              <w:left w:val="single" w:color="000000" w:sz="4" w:space="0"/>
              <w:bottom w:val="single" w:color="000000" w:sz="4" w:space="0"/>
              <w:right w:val="single" w:color="000000" w:sz="4" w:space="0"/>
            </w:tcBorders>
            <w:vAlign w:val="center"/>
          </w:tcPr>
          <w:p w14:paraId="60D3DD9A">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499B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6334DC7">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申请人资质</w:t>
            </w:r>
          </w:p>
        </w:tc>
        <w:tc>
          <w:tcPr>
            <w:tcW w:w="5483" w:type="dxa"/>
            <w:tcBorders>
              <w:top w:val="single" w:color="000000" w:sz="4" w:space="0"/>
              <w:left w:val="single" w:color="000000" w:sz="4" w:space="0"/>
              <w:bottom w:val="single" w:color="000000" w:sz="4" w:space="0"/>
              <w:right w:val="single" w:color="000000" w:sz="4" w:space="0"/>
            </w:tcBorders>
            <w:vAlign w:val="center"/>
          </w:tcPr>
          <w:p w14:paraId="7B969727">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072B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F332954">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项目负责人（职务）</w:t>
            </w:r>
          </w:p>
        </w:tc>
        <w:tc>
          <w:tcPr>
            <w:tcW w:w="5483" w:type="dxa"/>
            <w:tcBorders>
              <w:top w:val="single" w:color="000000" w:sz="4" w:space="0"/>
              <w:left w:val="single" w:color="000000" w:sz="4" w:space="0"/>
              <w:bottom w:val="single" w:color="000000" w:sz="4" w:space="0"/>
              <w:right w:val="single" w:color="000000" w:sz="4" w:space="0"/>
            </w:tcBorders>
            <w:vAlign w:val="center"/>
          </w:tcPr>
          <w:p w14:paraId="76104D83">
            <w:pPr>
              <w:widowControl/>
              <w:shd w:val="clear" w:color="auto" w:fill="auto"/>
              <w:spacing w:line="560" w:lineRule="exact"/>
              <w:jc w:val="center"/>
              <w:textAlignment w:val="center"/>
              <w:rPr>
                <w:rFonts w:ascii="仿宋_GB2312" w:hAnsi="宋体" w:eastAsia="仿宋_GB2312" w:cs="仿宋_GB2312"/>
                <w:b/>
                <w:color w:val="000000"/>
                <w:sz w:val="32"/>
                <w:szCs w:val="32"/>
              </w:rPr>
            </w:pPr>
          </w:p>
        </w:tc>
      </w:tr>
      <w:tr w14:paraId="2C23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DB07CA2">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color w:val="000000"/>
                <w:kern w:val="0"/>
                <w:sz w:val="32"/>
                <w:szCs w:val="32"/>
                <w:lang w:val="en-US" w:eastAsia="zh-CN"/>
              </w:rPr>
              <w:t>项目工作内容</w:t>
            </w:r>
          </w:p>
        </w:tc>
        <w:tc>
          <w:tcPr>
            <w:tcW w:w="5483" w:type="dxa"/>
            <w:tcBorders>
              <w:top w:val="single" w:color="000000" w:sz="4" w:space="0"/>
              <w:left w:val="single" w:color="000000" w:sz="4" w:space="0"/>
              <w:bottom w:val="single" w:color="000000" w:sz="4" w:space="0"/>
              <w:right w:val="single" w:color="000000" w:sz="4" w:space="0"/>
            </w:tcBorders>
            <w:vAlign w:val="center"/>
          </w:tcPr>
          <w:p w14:paraId="7CC33468">
            <w:pPr>
              <w:widowControl/>
              <w:shd w:val="clear" w:color="auto" w:fill="auto"/>
              <w:spacing w:line="560" w:lineRule="exact"/>
              <w:jc w:val="center"/>
              <w:textAlignment w:val="center"/>
              <w:rPr>
                <w:rFonts w:hint="eastAsia" w:ascii="仿宋_GB2312" w:hAnsi="宋体" w:eastAsia="仿宋_GB2312" w:cs="仿宋_GB2312"/>
                <w:b/>
                <w:color w:val="000000"/>
                <w:kern w:val="0"/>
                <w:sz w:val="32"/>
                <w:szCs w:val="32"/>
              </w:rPr>
            </w:pPr>
          </w:p>
        </w:tc>
      </w:tr>
      <w:tr w14:paraId="7224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exact"/>
        </w:trPr>
        <w:tc>
          <w:tcPr>
            <w:tcW w:w="3200" w:type="dxa"/>
            <w:tcBorders>
              <w:top w:val="single" w:color="000000" w:sz="4" w:space="0"/>
              <w:left w:val="single" w:color="000000" w:sz="4" w:space="0"/>
              <w:bottom w:val="single" w:color="000000" w:sz="4" w:space="0"/>
              <w:right w:val="single" w:color="000000" w:sz="4" w:space="0"/>
            </w:tcBorders>
            <w:vAlign w:val="center"/>
          </w:tcPr>
          <w:p w14:paraId="5C5AD08E">
            <w:pPr>
              <w:widowControl/>
              <w:shd w:val="clear" w:color="auto" w:fill="auto"/>
              <w:spacing w:line="560" w:lineRule="exact"/>
              <w:jc w:val="center"/>
              <w:textAlignment w:val="center"/>
              <w:rPr>
                <w:rFonts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报价</w:t>
            </w:r>
          </w:p>
        </w:tc>
        <w:tc>
          <w:tcPr>
            <w:tcW w:w="5483" w:type="dxa"/>
            <w:tcBorders>
              <w:top w:val="single" w:color="000000" w:sz="4" w:space="0"/>
              <w:left w:val="single" w:color="000000" w:sz="4" w:space="0"/>
              <w:bottom w:val="single" w:color="000000" w:sz="4" w:space="0"/>
              <w:right w:val="single" w:color="000000" w:sz="4" w:space="0"/>
            </w:tcBorders>
            <w:vAlign w:val="center"/>
          </w:tcPr>
          <w:p w14:paraId="093C7C58">
            <w:pPr>
              <w:widowControl/>
              <w:shd w:val="clear" w:color="auto" w:fill="auto"/>
              <w:spacing w:line="560" w:lineRule="exact"/>
              <w:ind w:firstLine="960" w:firstLineChars="300"/>
              <w:jc w:val="both"/>
              <w:textAlignment w:val="center"/>
              <w:rPr>
                <w:rFonts w:hint="default" w:ascii="仿宋_GB2312" w:hAnsi="宋体" w:eastAsia="仿宋_GB2312" w:cs="仿宋_GB2312"/>
                <w:b/>
                <w:color w:val="000000"/>
                <w:kern w:val="0"/>
                <w:sz w:val="32"/>
                <w:szCs w:val="32"/>
                <w:lang w:val="en-US"/>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（元）</w:t>
            </w:r>
          </w:p>
        </w:tc>
      </w:tr>
    </w:tbl>
    <w:p w14:paraId="20CCFB7A">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0061E71D">
      <w:pPr>
        <w:shd w:val="clear" w:color="auto" w:fill="auto"/>
        <w:adjustRightInd w:val="0"/>
        <w:spacing w:line="560" w:lineRule="exact"/>
        <w:ind w:firstLine="640" w:firstLineChars="200"/>
        <w:jc w:val="right"/>
        <w:rPr>
          <w:rFonts w:hint="eastAsia" w:ascii="仿宋_GB2312" w:hAnsi="仿宋_GB2312" w:eastAsia="仿宋_GB2312" w:cs="仿宋_GB2312"/>
          <w:sz w:val="32"/>
          <w:szCs w:val="32"/>
          <w:highlight w:val="none"/>
          <w:lang w:val="en-US" w:eastAsia="zh-CN"/>
        </w:rPr>
      </w:pPr>
    </w:p>
    <w:p w14:paraId="1DED1056">
      <w:pPr>
        <w:pStyle w:val="3"/>
        <w:ind w:firstLine="5461" w:firstLineChars="17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14:paraId="1004D623">
      <w:pPr>
        <w:rPr>
          <w:rFonts w:hint="eastAsia" w:ascii="仿宋_GB2312" w:hAnsi="仿宋_GB2312" w:eastAsia="仿宋_GB2312" w:cs="仿宋_GB2312"/>
          <w:sz w:val="32"/>
          <w:szCs w:val="32"/>
          <w:highlight w:val="none"/>
          <w:lang w:val="en-US" w:eastAsia="zh-CN"/>
        </w:rPr>
      </w:pPr>
    </w:p>
    <w:p w14:paraId="04D88CCB">
      <w:pPr>
        <w:rPr>
          <w:rFonts w:hint="eastAsia" w:ascii="仿宋_GB2312" w:hAnsi="仿宋_GB2312" w:eastAsia="仿宋_GB2312" w:cs="仿宋_GB2312"/>
          <w:sz w:val="32"/>
          <w:szCs w:val="32"/>
          <w:highlight w:val="none"/>
          <w:lang w:val="en-US" w:eastAsia="zh-CN"/>
        </w:rPr>
      </w:pPr>
    </w:p>
    <w:p w14:paraId="3141D97C">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14:paraId="0CA4F271">
      <w:pPr>
        <w:pStyle w:val="7"/>
        <w:spacing w:line="240" w:lineRule="auto"/>
        <w:ind w:firstLine="0" w:firstLineChars="0"/>
        <w:contextualSpacing/>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评标标准</w:t>
      </w:r>
    </w:p>
    <w:p w14:paraId="1685E9E5">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一、资格审查</w:t>
      </w:r>
    </w:p>
    <w:p w14:paraId="2D60D205">
      <w:pPr>
        <w:widowControl w:val="0"/>
        <w:wordWrap/>
        <w:adjustRightInd/>
        <w:snapToGrid/>
        <w:spacing w:line="580" w:lineRule="exact"/>
        <w:ind w:firstLine="640" w:firstLineChars="200"/>
        <w:textAlignment w:val="auto"/>
        <w:rPr>
          <w:rFonts w:hint="eastAsia" w:ascii="仿宋_GB2312" w:hAnsi="仿宋_GB2312" w:eastAsia="仿宋_GB2312" w:cs="仿宋_GB2312"/>
          <w:color w:val="FF0000"/>
          <w:sz w:val="32"/>
          <w:szCs w:val="32"/>
          <w:lang w:val="zh-CN" w:eastAsia="zh-CN"/>
        </w:rPr>
      </w:pPr>
      <w:r>
        <w:rPr>
          <w:rFonts w:hint="eastAsia" w:ascii="仿宋_GB2312" w:hAnsi="仿宋_GB2312" w:eastAsia="仿宋_GB2312" w:cs="仿宋_GB2312"/>
          <w:sz w:val="32"/>
          <w:szCs w:val="32"/>
          <w:lang w:eastAsia="zh-CN"/>
        </w:rPr>
        <w:t>评审小组对</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eastAsia="zh-CN"/>
        </w:rPr>
        <w:t>人资格进行检查。</w:t>
      </w:r>
      <w:r>
        <w:rPr>
          <w:rFonts w:hint="eastAsia" w:ascii="仿宋_GB2312" w:hAnsi="仿宋_GB2312" w:eastAsia="仿宋_GB2312" w:cs="仿宋_GB2312"/>
          <w:sz w:val="32"/>
          <w:szCs w:val="32"/>
          <w:lang w:val="zh-CN" w:eastAsia="zh-CN"/>
        </w:rPr>
        <w:t>确定符合资格的</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zh-CN" w:eastAsia="zh-CN"/>
        </w:rPr>
        <w:t>人不少于3</w:t>
      </w:r>
      <w:r>
        <w:rPr>
          <w:rFonts w:hint="eastAsia" w:ascii="仿宋_GB2312" w:hAnsi="仿宋_GB2312" w:eastAsia="仿宋_GB2312" w:cs="仿宋_GB2312"/>
          <w:color w:val="auto"/>
          <w:sz w:val="32"/>
          <w:szCs w:val="32"/>
          <w:lang w:val="zh-CN" w:eastAsia="zh-CN"/>
        </w:rPr>
        <w:t>家后对投标文件进行符合性审查，</w:t>
      </w:r>
      <w:r>
        <w:rPr>
          <w:rFonts w:hint="eastAsia" w:ascii="仿宋_GB2312" w:hAnsi="仿宋_GB2312" w:eastAsia="仿宋_GB2312" w:cs="仿宋_GB2312"/>
          <w:color w:val="auto"/>
          <w:sz w:val="32"/>
          <w:szCs w:val="32"/>
          <w:lang w:val="en-US" w:eastAsia="zh-CN"/>
        </w:rPr>
        <w:t>少于三家则本次评标过程无效</w:t>
      </w:r>
      <w:r>
        <w:rPr>
          <w:rFonts w:hint="eastAsia" w:ascii="仿宋_GB2312" w:hAnsi="仿宋_GB2312" w:eastAsia="仿宋_GB2312" w:cs="仿宋_GB2312"/>
          <w:color w:val="auto"/>
          <w:sz w:val="32"/>
          <w:szCs w:val="32"/>
          <w:lang w:val="zh-CN" w:eastAsia="zh-CN"/>
        </w:rPr>
        <w:t>。</w:t>
      </w:r>
    </w:p>
    <w:p w14:paraId="4D99BB46">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二、评审</w:t>
      </w:r>
    </w:p>
    <w:p w14:paraId="32AAFC34">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（一）评审方法</w:t>
      </w:r>
    </w:p>
    <w:p w14:paraId="763079C0">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 xml:space="preserve">本项目采用综合评分法。总分为 </w:t>
      </w:r>
      <w:r>
        <w:rPr>
          <w:rFonts w:hint="eastAsia" w:ascii="Times New Roman" w:hAnsi="Times New Roman" w:eastAsia="仿宋_GB2312" w:cs="Times New Roman"/>
          <w:sz w:val="32"/>
          <w:szCs w:val="32"/>
          <w:lang w:val="zh-CN" w:eastAsia="zh-CN"/>
        </w:rPr>
        <w:t xml:space="preserve">100 </w:t>
      </w:r>
      <w:r>
        <w:rPr>
          <w:rFonts w:hint="eastAsia" w:ascii="仿宋_GB2312" w:hAnsi="仿宋_GB2312" w:eastAsia="仿宋_GB2312" w:cs="仿宋_GB2312"/>
          <w:b/>
          <w:bCs/>
          <w:sz w:val="32"/>
          <w:szCs w:val="32"/>
          <w:lang w:val="zh-CN" w:eastAsia="zh-CN"/>
        </w:rPr>
        <w:t>分。</w:t>
      </w:r>
    </w:p>
    <w:p w14:paraId="0591258C">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54D3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42BA95BB">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分值构成</w:t>
            </w:r>
          </w:p>
          <w:p w14:paraId="017E361E">
            <w:pPr>
              <w:tabs>
                <w:tab w:val="left" w:pos="1260"/>
              </w:tabs>
              <w:autoSpaceDE w:val="0"/>
              <w:autoSpaceDN w:val="0"/>
              <w:adjustRightInd w:val="0"/>
              <w:snapToGrid w:val="0"/>
              <w:spacing w:line="276" w:lineRule="auto"/>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(总分100分)</w:t>
            </w:r>
          </w:p>
        </w:tc>
        <w:tc>
          <w:tcPr>
            <w:tcW w:w="6786" w:type="dxa"/>
            <w:vAlign w:val="center"/>
          </w:tcPr>
          <w:p w14:paraId="23E1A0C7">
            <w:pPr>
              <w:widowControl/>
              <w:adjustRightInd w:val="0"/>
              <w:snapToGrid w:val="0"/>
              <w:spacing w:line="276" w:lineRule="auto"/>
              <w:jc w:val="left"/>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zh-CN"/>
              </w:rPr>
              <w:t>企业报价：</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0 </w:t>
            </w:r>
            <w:r>
              <w:rPr>
                <w:rFonts w:hint="eastAsia" w:ascii="Times New Roman" w:hAnsi="Times New Roman" w:eastAsia="仿宋_GB2312" w:cs="Times New Roman"/>
                <w:sz w:val="32"/>
                <w:szCs w:val="32"/>
                <w:lang w:val="zh-CN" w:eastAsia="zh-CN"/>
              </w:rPr>
              <w:t>分</w:t>
            </w:r>
          </w:p>
          <w:p w14:paraId="2380200E">
            <w:pPr>
              <w:widowControl/>
              <w:adjustRightInd w:val="0"/>
              <w:snapToGrid w:val="0"/>
              <w:spacing w:line="276" w:lineRule="auto"/>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企业资质</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 </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zh-CN" w:eastAsia="zh-CN"/>
              </w:rPr>
              <w:t>分</w:t>
            </w:r>
          </w:p>
          <w:p w14:paraId="55F33DBE">
            <w:pPr>
              <w:widowControl/>
              <w:adjustRightInd w:val="0"/>
              <w:snapToGrid w:val="0"/>
              <w:spacing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企业业绩：</w:t>
            </w: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15 </w:t>
            </w:r>
            <w:r>
              <w:rPr>
                <w:rFonts w:hint="eastAsia" w:ascii="仿宋_GB2312" w:hAnsi="仿宋_GB2312" w:eastAsia="仿宋_GB2312" w:cs="仿宋_GB2312"/>
                <w:sz w:val="32"/>
                <w:szCs w:val="32"/>
                <w:lang w:val="en-US" w:eastAsia="zh-CN"/>
              </w:rPr>
              <w:t>分</w:t>
            </w:r>
          </w:p>
          <w:p w14:paraId="10F7DD50">
            <w:pPr>
              <w:widowControl/>
              <w:adjustRightInd w:val="0"/>
              <w:snapToGrid w:val="0"/>
              <w:spacing w:line="276" w:lineRule="auto"/>
              <w:jc w:val="left"/>
              <w:rPr>
                <w:rFonts w:hint="eastAsia"/>
                <w:lang w:val="en-US"/>
              </w:rPr>
            </w:pPr>
            <w:r>
              <w:rPr>
                <w:rFonts w:hint="eastAsia" w:ascii="仿宋_GB2312" w:hAnsi="仿宋_GB2312" w:eastAsia="仿宋_GB2312" w:cs="仿宋_GB2312"/>
                <w:sz w:val="32"/>
                <w:szCs w:val="32"/>
                <w:lang w:val="en-US" w:eastAsia="zh-CN"/>
              </w:rPr>
              <w:t>服务方案</w:t>
            </w:r>
            <w:r>
              <w:rPr>
                <w:rFonts w:hint="eastAsia" w:ascii="仿宋_GB2312" w:hAnsi="仿宋_GB2312" w:eastAsia="仿宋_GB2312" w:cs="仿宋_GB2312"/>
                <w:sz w:val="32"/>
                <w:szCs w:val="32"/>
                <w:lang w:val="zh-CN" w:eastAsia="zh-CN"/>
              </w:rPr>
              <w:t>：</w:t>
            </w:r>
            <w:r>
              <w:rPr>
                <w:rFonts w:hint="eastAsia" w:ascii="Times New Roman" w:hAnsi="Times New Roman" w:eastAsia="仿宋_GB2312" w:cs="Times New Roman"/>
                <w:sz w:val="32"/>
                <w:szCs w:val="32"/>
                <w:lang w:val="en-US" w:eastAsia="zh-CN"/>
              </w:rPr>
              <w:t xml:space="preserve"> 3</w:t>
            </w:r>
            <w:r>
              <w:rPr>
                <w:rFonts w:hint="eastAsia" w:eastAsia="仿宋_GB2312" w:cs="Times New Roman"/>
                <w:sz w:val="32"/>
                <w:szCs w:val="32"/>
                <w:lang w:val="en-US" w:eastAsia="zh-CN"/>
              </w:rPr>
              <w:t>5</w:t>
            </w:r>
            <w:r>
              <w:rPr>
                <w:rFonts w:hint="eastAsia" w:ascii="仿宋_GB2312" w:hAnsi="仿宋_GB2312" w:eastAsia="仿宋_GB2312" w:cs="仿宋_GB2312"/>
                <w:sz w:val="32"/>
                <w:szCs w:val="32"/>
                <w:lang w:val="zh-CN" w:eastAsia="zh-CN"/>
              </w:rPr>
              <w:t xml:space="preserve"> 分</w:t>
            </w:r>
          </w:p>
        </w:tc>
      </w:tr>
      <w:tr w14:paraId="43E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3EDDA59C">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评审项</w:t>
            </w:r>
          </w:p>
        </w:tc>
        <w:tc>
          <w:tcPr>
            <w:tcW w:w="6786" w:type="dxa"/>
            <w:tcMar>
              <w:top w:w="0" w:type="dxa"/>
              <w:left w:w="0" w:type="dxa"/>
              <w:bottom w:w="0" w:type="dxa"/>
              <w:right w:w="0" w:type="dxa"/>
            </w:tcMar>
            <w:vAlign w:val="center"/>
          </w:tcPr>
          <w:p w14:paraId="2261EBDE">
            <w:pPr>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评标标准</w:t>
            </w:r>
          </w:p>
        </w:tc>
      </w:tr>
      <w:tr w14:paraId="63EC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3EE715C7">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报价</w:t>
            </w:r>
          </w:p>
          <w:p w14:paraId="6C55884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分）</w:t>
            </w:r>
          </w:p>
        </w:tc>
        <w:tc>
          <w:tcPr>
            <w:tcW w:w="6786" w:type="dxa"/>
            <w:tcMar>
              <w:top w:w="0" w:type="dxa"/>
              <w:left w:w="0" w:type="dxa"/>
              <w:bottom w:w="0" w:type="dxa"/>
              <w:right w:w="0" w:type="dxa"/>
            </w:tcMar>
            <w:vAlign w:val="center"/>
          </w:tcPr>
          <w:p w14:paraId="5947E05F">
            <w:pPr>
              <w:widowControl/>
              <w:adjustRightInd w:val="0"/>
              <w:snapToGrid w:val="0"/>
              <w:spacing w:line="276"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1、服务费超过控制价为无效报价；</w:t>
            </w:r>
          </w:p>
          <w:p w14:paraId="46AE96A3">
            <w:pPr>
              <w:widowControl/>
              <w:adjustRightInd w:val="0"/>
              <w:snapToGrid w:val="0"/>
              <w:spacing w:line="276"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2、所有参与的申请人最低的有效报价为基准报价；</w:t>
            </w:r>
          </w:p>
          <w:p w14:paraId="5F48256A">
            <w:pPr>
              <w:widowControl/>
              <w:adjustRightInd w:val="0"/>
              <w:snapToGrid w:val="0"/>
              <w:spacing w:line="276"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3、报价得分=（基准报价/报价）×40分。</w:t>
            </w:r>
          </w:p>
        </w:tc>
      </w:tr>
      <w:tr w14:paraId="5932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913" w:type="dxa"/>
            <w:shd w:val="clear" w:color="auto" w:fill="auto"/>
            <w:tcMar>
              <w:top w:w="0" w:type="dxa"/>
              <w:left w:w="0" w:type="dxa"/>
              <w:bottom w:w="0" w:type="dxa"/>
              <w:right w:w="0" w:type="dxa"/>
            </w:tcMar>
            <w:vAlign w:val="center"/>
          </w:tcPr>
          <w:p w14:paraId="7CB56332">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企业资质</w:t>
            </w:r>
          </w:p>
          <w:p w14:paraId="0776C986">
            <w:pPr>
              <w:adjustRightInd w:val="0"/>
              <w:snapToGrid w:val="0"/>
              <w:spacing w:line="276"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（10分）</w:t>
            </w:r>
          </w:p>
        </w:tc>
        <w:tc>
          <w:tcPr>
            <w:tcW w:w="6786" w:type="dxa"/>
            <w:shd w:val="clear" w:color="auto" w:fill="auto"/>
            <w:tcMar>
              <w:top w:w="0" w:type="dxa"/>
              <w:left w:w="0" w:type="dxa"/>
              <w:bottom w:w="0" w:type="dxa"/>
              <w:right w:w="0" w:type="dxa"/>
            </w:tcMar>
            <w:vAlign w:val="center"/>
          </w:tcPr>
          <w:p w14:paraId="549F680C">
            <w:pPr>
              <w:widowControl/>
              <w:adjustRightInd w:val="0"/>
              <w:snapToGrid w:val="0"/>
              <w:spacing w:line="276" w:lineRule="auto"/>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项目负责人必须是水利专业工程师。工程师：10分（不含项目负责人），项目团队中2名中级工程师（水利、建筑、电力等）得基本分6分，每增加一名加2分。每增加一名助理服务工程师加1分。满分10分。团队组成人员须提供劳动合同及社保等证明文件证书复印件。</w:t>
            </w:r>
          </w:p>
        </w:tc>
      </w:tr>
      <w:tr w14:paraId="1F17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shd w:val="clear" w:color="auto" w:fill="auto"/>
            <w:tcMar>
              <w:top w:w="0" w:type="dxa"/>
              <w:left w:w="0" w:type="dxa"/>
              <w:bottom w:w="0" w:type="dxa"/>
              <w:right w:w="0" w:type="dxa"/>
            </w:tcMar>
            <w:vAlign w:val="center"/>
          </w:tcPr>
          <w:p w14:paraId="7C1820A5">
            <w:pPr>
              <w:widowControl/>
              <w:numPr>
                <w:ilvl w:val="0"/>
                <w:numId w:val="0"/>
              </w:numPr>
              <w:wordWrap/>
              <w:adjustRightInd w:val="0"/>
              <w:snapToGrid w:val="0"/>
              <w:spacing w:line="540" w:lineRule="exact"/>
              <w:ind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企业业绩</w:t>
            </w:r>
          </w:p>
          <w:p w14:paraId="5A60D9E4">
            <w:pPr>
              <w:widowControl/>
              <w:numPr>
                <w:ilvl w:val="0"/>
                <w:numId w:val="0"/>
              </w:numPr>
              <w:wordWrap/>
              <w:adjustRightInd w:val="0"/>
              <w:snapToGrid w:val="0"/>
              <w:spacing w:line="540" w:lineRule="exact"/>
              <w:ind w:right="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分）</w:t>
            </w:r>
          </w:p>
        </w:tc>
        <w:tc>
          <w:tcPr>
            <w:tcW w:w="6786" w:type="dxa"/>
            <w:shd w:val="clear" w:color="auto" w:fill="auto"/>
            <w:tcMar>
              <w:top w:w="0" w:type="dxa"/>
              <w:left w:w="0" w:type="dxa"/>
              <w:bottom w:w="0" w:type="dxa"/>
              <w:right w:w="0" w:type="dxa"/>
            </w:tcMar>
            <w:vAlign w:val="center"/>
          </w:tcPr>
          <w:p w14:paraId="356EDA5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自2022年1月以来近三年服务项目类似业绩(以合同或中标通知书为准）三项及以上者得15分，缺一项扣5分,没有不得分。</w:t>
            </w:r>
          </w:p>
        </w:tc>
      </w:tr>
      <w:tr w14:paraId="672C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32EAB8C8">
            <w:pPr>
              <w:adjustRightInd w:val="0"/>
              <w:snapToGrid w:val="0"/>
              <w:spacing w:line="276"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服务方案</w:t>
            </w:r>
          </w:p>
          <w:p w14:paraId="75B1BD95">
            <w:pPr>
              <w:adjustRightInd w:val="0"/>
              <w:snapToGrid w:val="0"/>
              <w:spacing w:line="27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（35分）</w:t>
            </w:r>
          </w:p>
        </w:tc>
        <w:tc>
          <w:tcPr>
            <w:tcW w:w="6786" w:type="dxa"/>
            <w:tcMar>
              <w:top w:w="0" w:type="dxa"/>
              <w:left w:w="0" w:type="dxa"/>
              <w:bottom w:w="0" w:type="dxa"/>
              <w:right w:w="0" w:type="dxa"/>
            </w:tcMar>
            <w:vAlign w:val="center"/>
          </w:tcPr>
          <w:p w14:paraId="403CA43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1、服务方案：针对具体项目类型特点，制定详细全面的服务方案，明确服务原则、重点难点服务内容、具体服务措施等。（满分10分）</w:t>
            </w:r>
          </w:p>
          <w:p w14:paraId="25E5BE7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（1）服务方案详细全面、有针对性，服务措施合理科学的得8-10分；</w:t>
            </w:r>
          </w:p>
          <w:p w14:paraId="16637B61">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（2）服务方案比较可行、有针对性，服务措施比较合理科学的得5-7分；</w:t>
            </w:r>
          </w:p>
          <w:p w14:paraId="2892DEE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（3）服务方案可行性、针对性一般，服务措施基本合理科学的得2-4分。</w:t>
            </w:r>
          </w:p>
          <w:p w14:paraId="3635623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2、服务质量保证措施：针对本项目质量要求，制定出实现质量目标的具体保证措施，进行分析并制定出相应的处理方法。（满分10分）</w:t>
            </w:r>
          </w:p>
          <w:p w14:paraId="298FD12B">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（1）保证体系健全、完整、合理、思路清晰并具有一定的严谨性的得8-10分；</w:t>
            </w:r>
          </w:p>
          <w:p w14:paraId="41E8FDF8">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（2）保证体系基本健全、完整的得5-7分；</w:t>
            </w:r>
          </w:p>
          <w:p w14:paraId="5F536AB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（3）保证体系一般的得2-4分。</w:t>
            </w:r>
          </w:p>
          <w:p w14:paraId="571285C2">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3、项目进度安排：（满分5分）</w:t>
            </w:r>
          </w:p>
          <w:p w14:paraId="11564370">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（1）工作进度安排具体、合理、可行，完全满足招标要求得5分；</w:t>
            </w:r>
          </w:p>
          <w:p w14:paraId="2DCA40DD">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（2）工作进度安排基本合理，基本满足招标要求得3-4 分。</w:t>
            </w:r>
          </w:p>
          <w:p w14:paraId="46B4CBD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（3）工作进度安排一般的得0-2分</w:t>
            </w:r>
          </w:p>
          <w:p w14:paraId="29008366">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4、保密措施及档案管理制度。（满分5分）</w:t>
            </w:r>
          </w:p>
          <w:p w14:paraId="5847B56A">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（1）有完善保密方案、档案的收集、整理、保管、利用得5分</w:t>
            </w:r>
          </w:p>
          <w:p w14:paraId="502FCC39">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（2）切实可行且合理的得3-4分</w:t>
            </w:r>
          </w:p>
          <w:p w14:paraId="7E60EE05">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（3）基本切实可行的得0-2分</w:t>
            </w:r>
          </w:p>
          <w:p w14:paraId="694DC6CA">
            <w:pPr>
              <w:widowControl/>
              <w:adjustRightInd w:val="0"/>
              <w:snapToGrid w:val="0"/>
              <w:spacing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5、服务承诺。（满分5分）在服务期限内按照采购人要求的时限和质量完成项目任务，并做出承诺：响应及时（2小时内）、拟派人员固定、廉洁自律、成果文件完整、符合国家标准。每承诺一项得1分，满分5分。</w:t>
            </w:r>
          </w:p>
        </w:tc>
      </w:tr>
    </w:tbl>
    <w:p w14:paraId="1795B5AA">
      <w:pPr>
        <w:widowControl w:val="0"/>
        <w:wordWrap/>
        <w:adjustRightInd/>
        <w:snapToGrid/>
        <w:spacing w:line="58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zh-CN" w:eastAsia="zh-CN"/>
        </w:rPr>
        <w:t>）推荐</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b/>
          <w:bCs/>
          <w:sz w:val="32"/>
          <w:szCs w:val="32"/>
          <w:lang w:val="zh-CN" w:eastAsia="zh-CN"/>
        </w:rPr>
        <w:t>候选人</w:t>
      </w:r>
    </w:p>
    <w:p w14:paraId="0BC698A1">
      <w:pPr>
        <w:widowControl w:val="0"/>
        <w:wordWrap/>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采用综合评分法，按照得分由高到低确定候选人</w:t>
      </w:r>
      <w:r>
        <w:rPr>
          <w:rFonts w:hint="eastAsia" w:ascii="仿宋" w:hAnsi="仿宋" w:eastAsia="仿宋" w:cs="仿宋"/>
          <w:sz w:val="32"/>
          <w:szCs w:val="32"/>
          <w:highlight w:val="none"/>
          <w:lang w:val="en-US" w:eastAsia="zh-CN"/>
        </w:rPr>
        <w:t>。</w:t>
      </w:r>
    </w:p>
    <w:p w14:paraId="5241423E">
      <w:pPr>
        <w:pStyle w:val="12"/>
        <w:rPr>
          <w:rFonts w:hint="eastAsia" w:ascii="仿宋" w:hAnsi="仿宋" w:eastAsia="仿宋" w:cs="仿宋"/>
          <w:sz w:val="32"/>
          <w:szCs w:val="32"/>
          <w:highlight w:val="none"/>
          <w:lang w:val="en-US" w:eastAsia="zh-CN"/>
        </w:rPr>
      </w:pPr>
    </w:p>
    <w:p w14:paraId="1663472C">
      <w:pPr>
        <w:pStyle w:val="13"/>
        <w:ind w:left="0" w:leftChars="0" w:firstLine="0" w:firstLineChars="0"/>
        <w:rPr>
          <w:rFonts w:hint="eastAsia" w:ascii="仿宋" w:hAnsi="仿宋" w:eastAsia="仿宋" w:cs="仿宋"/>
          <w:sz w:val="32"/>
          <w:szCs w:val="32"/>
          <w:highlight w:val="none"/>
          <w:lang w:val="en-US" w:eastAsia="zh-CN"/>
        </w:rPr>
      </w:pPr>
    </w:p>
    <w:p w14:paraId="3C0FFF87">
      <w:pPr>
        <w:rPr>
          <w:rFonts w:hint="eastAsia" w:ascii="仿宋" w:hAnsi="仿宋" w:eastAsia="仿宋" w:cs="仿宋"/>
          <w:sz w:val="32"/>
          <w:szCs w:val="32"/>
          <w:highlight w:val="none"/>
          <w:lang w:val="en-US" w:eastAsia="zh-CN"/>
        </w:rPr>
      </w:pPr>
    </w:p>
    <w:p w14:paraId="799AA620">
      <w:pPr>
        <w:rPr>
          <w:rFonts w:hint="eastAsia" w:ascii="仿宋" w:hAnsi="仿宋" w:eastAsia="仿宋" w:cs="仿宋"/>
          <w:sz w:val="32"/>
          <w:szCs w:val="32"/>
          <w:highlight w:val="none"/>
          <w:lang w:val="en-US" w:eastAsia="zh-CN"/>
        </w:rPr>
      </w:pPr>
    </w:p>
    <w:p w14:paraId="322B3C4E">
      <w:pPr>
        <w:rPr>
          <w:rFonts w:hint="eastAsia" w:ascii="仿宋" w:hAnsi="仿宋" w:eastAsia="仿宋" w:cs="仿宋"/>
          <w:sz w:val="32"/>
          <w:szCs w:val="32"/>
          <w:highlight w:val="none"/>
          <w:lang w:val="en-US" w:eastAsia="zh-CN"/>
        </w:rPr>
      </w:pPr>
    </w:p>
    <w:p w14:paraId="5530203A">
      <w:pPr>
        <w:rPr>
          <w:rFonts w:hint="eastAsia" w:ascii="仿宋" w:hAnsi="仿宋" w:eastAsia="仿宋" w:cs="仿宋"/>
          <w:sz w:val="32"/>
          <w:szCs w:val="32"/>
          <w:highlight w:val="none"/>
          <w:lang w:val="en-US" w:eastAsia="zh-CN"/>
        </w:rPr>
      </w:pPr>
    </w:p>
    <w:p w14:paraId="3D8F0B5B">
      <w:pPr>
        <w:rPr>
          <w:rFonts w:hint="eastAsia" w:ascii="仿宋" w:hAnsi="仿宋" w:eastAsia="仿宋" w:cs="仿宋"/>
          <w:sz w:val="32"/>
          <w:szCs w:val="32"/>
          <w:highlight w:val="none"/>
          <w:lang w:val="en-US" w:eastAsia="zh-CN"/>
        </w:rPr>
      </w:pPr>
    </w:p>
    <w:p w14:paraId="23A6E738">
      <w:pPr>
        <w:rPr>
          <w:rFonts w:hint="eastAsia" w:ascii="仿宋" w:hAnsi="仿宋" w:eastAsia="仿宋" w:cs="仿宋"/>
          <w:sz w:val="32"/>
          <w:szCs w:val="32"/>
          <w:highlight w:val="none"/>
          <w:lang w:val="en-US" w:eastAsia="zh-CN"/>
        </w:rPr>
      </w:pPr>
    </w:p>
    <w:p w14:paraId="108B7DFE">
      <w:pPr>
        <w:rPr>
          <w:rFonts w:hint="eastAsia" w:ascii="仿宋" w:hAnsi="仿宋" w:eastAsia="仿宋" w:cs="仿宋"/>
          <w:sz w:val="32"/>
          <w:szCs w:val="32"/>
          <w:highlight w:val="none"/>
          <w:lang w:val="en-US" w:eastAsia="zh-CN"/>
        </w:rPr>
      </w:pPr>
    </w:p>
    <w:p w14:paraId="5FB85BD8">
      <w:pPr>
        <w:rPr>
          <w:rFonts w:hint="eastAsia" w:ascii="仿宋" w:hAnsi="仿宋" w:eastAsia="仿宋" w:cs="仿宋"/>
          <w:sz w:val="32"/>
          <w:szCs w:val="32"/>
          <w:highlight w:val="none"/>
          <w:lang w:val="en-US" w:eastAsia="zh-CN"/>
        </w:rPr>
      </w:pPr>
    </w:p>
    <w:p w14:paraId="6F59FB26">
      <w:pPr>
        <w:rPr>
          <w:rFonts w:hint="eastAsia" w:ascii="仿宋" w:hAnsi="仿宋" w:eastAsia="仿宋" w:cs="仿宋"/>
          <w:sz w:val="32"/>
          <w:szCs w:val="32"/>
          <w:highlight w:val="none"/>
          <w:lang w:val="en-US" w:eastAsia="zh-CN"/>
        </w:rPr>
      </w:pPr>
    </w:p>
    <w:p w14:paraId="195C648E">
      <w:pPr>
        <w:rPr>
          <w:rFonts w:hint="eastAsia" w:ascii="仿宋" w:hAnsi="仿宋" w:eastAsia="仿宋" w:cs="仿宋"/>
          <w:sz w:val="32"/>
          <w:szCs w:val="32"/>
          <w:highlight w:val="none"/>
          <w:lang w:val="en-US" w:eastAsia="zh-CN"/>
        </w:rPr>
      </w:pPr>
    </w:p>
    <w:p w14:paraId="125EBFE1">
      <w:pPr>
        <w:rPr>
          <w:rFonts w:hint="eastAsia" w:ascii="仿宋" w:hAnsi="仿宋" w:eastAsia="仿宋" w:cs="仿宋"/>
          <w:sz w:val="32"/>
          <w:szCs w:val="32"/>
          <w:highlight w:val="none"/>
          <w:lang w:val="en-US" w:eastAsia="zh-CN"/>
        </w:rPr>
      </w:pPr>
    </w:p>
    <w:p w14:paraId="2B1099FB">
      <w:pPr>
        <w:rPr>
          <w:rFonts w:hint="eastAsia" w:ascii="仿宋" w:hAnsi="仿宋" w:eastAsia="仿宋" w:cs="仿宋"/>
          <w:sz w:val="32"/>
          <w:szCs w:val="32"/>
          <w:highlight w:val="none"/>
          <w:lang w:val="en-US" w:eastAsia="zh-CN"/>
        </w:rPr>
      </w:pPr>
    </w:p>
    <w:p w14:paraId="4F07E3F7">
      <w:pPr>
        <w:pStyle w:val="13"/>
        <w:spacing w:before="100" w:after="100"/>
        <w:ind w:left="0" w:leftChars="0" w:firstLine="0" w:firstLineChars="0"/>
        <w:rPr>
          <w:rFonts w:hint="default" w:eastAsia="仿宋_GB2312"/>
          <w:sz w:val="32"/>
          <w:szCs w:val="32"/>
          <w:lang w:eastAsia="zh-CN"/>
        </w:rPr>
      </w:pPr>
      <w:r>
        <w:rPr>
          <w:rFonts w:hint="eastAsia" w:ascii="仿宋" w:hAnsi="仿宋" w:eastAsia="仿宋" w:cs="仿宋"/>
          <w:sz w:val="32"/>
          <w:szCs w:val="32"/>
          <w:highlight w:val="none"/>
          <w:lang w:val="en-US" w:eastAsia="zh-CN"/>
        </w:rPr>
        <w:t>附件3：</w:t>
      </w:r>
    </w:p>
    <w:p w14:paraId="77F851E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w:t>
      </w:r>
      <w:r>
        <w:rPr>
          <w:rFonts w:hint="eastAsia" w:ascii="方正小标宋简体" w:hAnsi="方正小标宋简体" w:eastAsia="方正小标宋简体" w:cs="方正小标宋简体"/>
          <w:sz w:val="44"/>
          <w:szCs w:val="44"/>
          <w:lang w:val="en-US" w:eastAsia="zh-CN"/>
        </w:rPr>
        <w:t>自</w:t>
      </w:r>
      <w:r>
        <w:rPr>
          <w:rFonts w:hint="eastAsia" w:ascii="方正小标宋简体" w:hAnsi="方正小标宋简体" w:eastAsia="方正小标宋简体" w:cs="方正小标宋简体"/>
          <w:sz w:val="44"/>
          <w:szCs w:val="44"/>
        </w:rPr>
        <w:t>律承诺书</w:t>
      </w:r>
    </w:p>
    <w:p w14:paraId="0C55FDD8">
      <w:pPr>
        <w:wordWrap/>
        <w:spacing w:line="560" w:lineRule="exact"/>
        <w:rPr>
          <w:rFonts w:hint="eastAsia" w:ascii="仿宋_GB2312" w:hAnsi="仿宋_GB2312" w:eastAsia="仿宋_GB2312" w:cs="仿宋_GB2312"/>
          <w:color w:val="auto"/>
          <w:sz w:val="32"/>
          <w:szCs w:val="32"/>
        </w:rPr>
      </w:pPr>
    </w:p>
    <w:p w14:paraId="6D609670">
      <w:pPr>
        <w:wordWrap/>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公司</w:t>
      </w:r>
    </w:p>
    <w:p w14:paraId="217629E0">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为维护公平竞争的市场环境，确保经济活动的廉洁性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合法性和透明度，防止任何形式的不正当交易及腐败行为，</w:t>
      </w:r>
      <w:r>
        <w:rPr>
          <w:rFonts w:hint="eastAsia" w:ascii="仿宋_GB2312" w:hAnsi="仿宋_GB2312" w:eastAsia="仿宋_GB2312" w:cs="仿宋_GB2312"/>
          <w:color w:val="auto"/>
          <w:sz w:val="32"/>
          <w:szCs w:val="32"/>
          <w:lang w:val="en-US" w:eastAsia="zh-CN"/>
        </w:rPr>
        <w:t>我单位作为投标人，郑重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如下</w:t>
      </w:r>
      <w:r>
        <w:rPr>
          <w:rFonts w:hint="eastAsia" w:ascii="仿宋_GB2312" w:hAnsi="仿宋_GB2312" w:eastAsia="仿宋_GB2312" w:cs="仿宋_GB2312"/>
          <w:color w:val="auto"/>
          <w:sz w:val="32"/>
          <w:szCs w:val="32"/>
        </w:rPr>
        <w:t>:</w:t>
      </w:r>
    </w:p>
    <w:p w14:paraId="2300FE84">
      <w:pPr>
        <w:pStyle w:val="19"/>
        <w:widowControl/>
        <w:numPr>
          <w:ilvl w:val="0"/>
          <w:numId w:val="0"/>
        </w:numPr>
        <w:wordWrap/>
        <w:adjustRightInd w:val="0"/>
        <w:snapToGrid w:val="0"/>
        <w:spacing w:after="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严格遵守国家及地方关于招投标、市场竞争的相关法律法规，不使用不正当手段妨碍、排挤相关投标单位或串通投标</w:t>
      </w:r>
      <w:r>
        <w:rPr>
          <w:rFonts w:hint="eastAsia" w:ascii="仿宋_GB2312" w:hAnsi="仿宋_GB2312" w:eastAsia="仿宋_GB2312" w:cs="仿宋_GB2312"/>
          <w:color w:val="auto"/>
          <w:sz w:val="32"/>
          <w:szCs w:val="32"/>
          <w:lang w:eastAsia="zh-CN"/>
        </w:rPr>
        <w:t>。</w:t>
      </w:r>
    </w:p>
    <w:p w14:paraId="688F59C1">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2.不以任何形式(包括但不限于现金、礼品、有价证券回扣、佣金、提供旅游、娱乐活动等)向招标人员、评标专家或其他</w:t>
      </w:r>
      <w:r>
        <w:rPr>
          <w:rFonts w:hint="eastAsia" w:ascii="仿宋_GB2312" w:hAnsi="仿宋_GB2312" w:eastAsia="仿宋_GB2312" w:cs="仿宋_GB2312"/>
          <w:color w:val="auto"/>
          <w:sz w:val="32"/>
          <w:szCs w:val="32"/>
          <w:lang w:val="en-US" w:eastAsia="zh-CN"/>
        </w:rPr>
        <w:t>利害关系方</w:t>
      </w:r>
      <w:r>
        <w:rPr>
          <w:rFonts w:hint="eastAsia" w:ascii="仿宋_GB2312" w:hAnsi="仿宋_GB2312" w:eastAsia="仿宋_GB2312" w:cs="仿宋_GB2312"/>
          <w:color w:val="auto"/>
          <w:sz w:val="32"/>
          <w:szCs w:val="32"/>
        </w:rPr>
        <w:t>进行贿赂或给予不正当利益。</w:t>
      </w:r>
    </w:p>
    <w:p w14:paraId="0BDEDCE0">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3.不进行任何可能影响招标公平、公正的活动或尝试干预评标过程。</w:t>
      </w:r>
    </w:p>
    <w:p w14:paraId="0CC16513">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如违反上述承诺，我单位愿意接受包括但不限于取消投标资格、中标无效、列入不良行为记录名单等，给招标单位造成损失的，依法承担赔偿责任。</w:t>
      </w:r>
    </w:p>
    <w:p w14:paraId="7545F932">
      <w:pPr>
        <w:wordWrap/>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148FA2F4">
      <w:pPr>
        <w:ind w:firstLine="6400" w:firstLineChars="2000"/>
        <w:rPr>
          <w:rFonts w:hint="eastAsia" w:ascii="仿宋_GB2312" w:hAnsi="仿宋_GB2312" w:eastAsia="仿宋_GB2312" w:cs="仿宋_GB2312"/>
          <w:sz w:val="32"/>
          <w:szCs w:val="32"/>
        </w:rPr>
      </w:pPr>
    </w:p>
    <w:p w14:paraId="6700735A">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14:paraId="039A6F15">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p>
    <w:p w14:paraId="3708713B">
      <w:pPr>
        <w:widowControl w:val="0"/>
        <w:wordWrap/>
        <w:adjustRightInd/>
        <w:snapToGrid/>
        <w:spacing w:line="580" w:lineRule="exact"/>
        <w:textAlignment w:val="auto"/>
        <w:rPr>
          <w:rFonts w:hint="default" w:ascii="仿宋_GB2312" w:hAnsi="仿宋_GB2312" w:eastAsia="仿宋_GB2312" w:cs="仿宋_GB2312"/>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1FD">
    <w:pPr>
      <w:pStyle w:val="8"/>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0D970EA1">
                    <w:pPr>
                      <w:pStyle w:val="8"/>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ZGI5NzQwYWYyZTI1Nzk4NTU4YmYxNzcwZWJlZTkifQ=="/>
    <w:docVar w:name="KSO_WPS_MARK_KEY" w:val="e10be619-05dc-41cf-93cb-fd70e9d7f3f3"/>
  </w:docVars>
  <w:rsids>
    <w:rsidRoot w:val="00172A27"/>
    <w:rsid w:val="02471314"/>
    <w:rsid w:val="033A76CC"/>
    <w:rsid w:val="03435D32"/>
    <w:rsid w:val="04760788"/>
    <w:rsid w:val="0477594A"/>
    <w:rsid w:val="04A6281D"/>
    <w:rsid w:val="04AC5B58"/>
    <w:rsid w:val="04F57BCC"/>
    <w:rsid w:val="059A64CC"/>
    <w:rsid w:val="065A0AB0"/>
    <w:rsid w:val="07400AFC"/>
    <w:rsid w:val="07FF36BC"/>
    <w:rsid w:val="0A2C0437"/>
    <w:rsid w:val="0B554C24"/>
    <w:rsid w:val="0BFD4952"/>
    <w:rsid w:val="0DCD1AE2"/>
    <w:rsid w:val="0F1958F7"/>
    <w:rsid w:val="100B7DD6"/>
    <w:rsid w:val="117E16C8"/>
    <w:rsid w:val="12277102"/>
    <w:rsid w:val="12D9134B"/>
    <w:rsid w:val="12FD3C21"/>
    <w:rsid w:val="13926BAE"/>
    <w:rsid w:val="139C6AE3"/>
    <w:rsid w:val="15B96C5E"/>
    <w:rsid w:val="16262886"/>
    <w:rsid w:val="17155F13"/>
    <w:rsid w:val="17A51BCE"/>
    <w:rsid w:val="17C20C6F"/>
    <w:rsid w:val="1B507B0C"/>
    <w:rsid w:val="1B7E3953"/>
    <w:rsid w:val="1C835196"/>
    <w:rsid w:val="1CEB654E"/>
    <w:rsid w:val="1DC22489"/>
    <w:rsid w:val="1E6710C6"/>
    <w:rsid w:val="1F1664EC"/>
    <w:rsid w:val="20BA4033"/>
    <w:rsid w:val="21B04977"/>
    <w:rsid w:val="22286977"/>
    <w:rsid w:val="22900BB2"/>
    <w:rsid w:val="234B5C3C"/>
    <w:rsid w:val="250B339C"/>
    <w:rsid w:val="25B415F5"/>
    <w:rsid w:val="27B5129D"/>
    <w:rsid w:val="27BF38CF"/>
    <w:rsid w:val="283F1AED"/>
    <w:rsid w:val="28B62672"/>
    <w:rsid w:val="29B575A9"/>
    <w:rsid w:val="29E1276B"/>
    <w:rsid w:val="2AED38D4"/>
    <w:rsid w:val="2B581BF2"/>
    <w:rsid w:val="2BC62952"/>
    <w:rsid w:val="2CC66F08"/>
    <w:rsid w:val="2EC3522E"/>
    <w:rsid w:val="30305D0A"/>
    <w:rsid w:val="309143F1"/>
    <w:rsid w:val="331104CE"/>
    <w:rsid w:val="33F17549"/>
    <w:rsid w:val="366D7797"/>
    <w:rsid w:val="36EC5FD8"/>
    <w:rsid w:val="38496769"/>
    <w:rsid w:val="384B1BA2"/>
    <w:rsid w:val="396F1F22"/>
    <w:rsid w:val="399765E7"/>
    <w:rsid w:val="39B06AF4"/>
    <w:rsid w:val="3ADE6BB9"/>
    <w:rsid w:val="3B930354"/>
    <w:rsid w:val="3BFE6232"/>
    <w:rsid w:val="3D1D6AF8"/>
    <w:rsid w:val="3E5548D7"/>
    <w:rsid w:val="3EE04C6E"/>
    <w:rsid w:val="3F5930F5"/>
    <w:rsid w:val="4070746C"/>
    <w:rsid w:val="40C25701"/>
    <w:rsid w:val="4290206D"/>
    <w:rsid w:val="438D7307"/>
    <w:rsid w:val="442A5BD9"/>
    <w:rsid w:val="454A3AE3"/>
    <w:rsid w:val="45502C7D"/>
    <w:rsid w:val="461026EE"/>
    <w:rsid w:val="464042EF"/>
    <w:rsid w:val="468F1307"/>
    <w:rsid w:val="47B42BE7"/>
    <w:rsid w:val="47FB2A68"/>
    <w:rsid w:val="4A3D2009"/>
    <w:rsid w:val="4B2116C3"/>
    <w:rsid w:val="4B6B4494"/>
    <w:rsid w:val="4BAF6E8A"/>
    <w:rsid w:val="4F71212E"/>
    <w:rsid w:val="4FDC1809"/>
    <w:rsid w:val="4FF27880"/>
    <w:rsid w:val="504C2670"/>
    <w:rsid w:val="531862B9"/>
    <w:rsid w:val="53833B16"/>
    <w:rsid w:val="53E21C7B"/>
    <w:rsid w:val="5549003E"/>
    <w:rsid w:val="58517D83"/>
    <w:rsid w:val="58535244"/>
    <w:rsid w:val="589C7FC2"/>
    <w:rsid w:val="58A9515A"/>
    <w:rsid w:val="596040BD"/>
    <w:rsid w:val="5A0803C7"/>
    <w:rsid w:val="5BFB48DE"/>
    <w:rsid w:val="5CF873CF"/>
    <w:rsid w:val="5DA12EF6"/>
    <w:rsid w:val="61215F42"/>
    <w:rsid w:val="62641F69"/>
    <w:rsid w:val="629E645C"/>
    <w:rsid w:val="62A20064"/>
    <w:rsid w:val="62F72DBF"/>
    <w:rsid w:val="635A1B7D"/>
    <w:rsid w:val="63B41DA5"/>
    <w:rsid w:val="64555C7B"/>
    <w:rsid w:val="655F1E1A"/>
    <w:rsid w:val="658E425E"/>
    <w:rsid w:val="67934844"/>
    <w:rsid w:val="68F608D3"/>
    <w:rsid w:val="6AD87C8C"/>
    <w:rsid w:val="6B6E6EE6"/>
    <w:rsid w:val="6BA97B57"/>
    <w:rsid w:val="6CAC04F4"/>
    <w:rsid w:val="6D6535F8"/>
    <w:rsid w:val="70722F5B"/>
    <w:rsid w:val="70D44079"/>
    <w:rsid w:val="70F82CCD"/>
    <w:rsid w:val="71A2163F"/>
    <w:rsid w:val="71AB32FD"/>
    <w:rsid w:val="74F51705"/>
    <w:rsid w:val="7507768A"/>
    <w:rsid w:val="768D3F82"/>
    <w:rsid w:val="768F7791"/>
    <w:rsid w:val="775B1880"/>
    <w:rsid w:val="77E57406"/>
    <w:rsid w:val="79DA0070"/>
    <w:rsid w:val="79E97840"/>
    <w:rsid w:val="7BD60CC6"/>
    <w:rsid w:val="7BE03191"/>
    <w:rsid w:val="7C222C76"/>
    <w:rsid w:val="7D3E79C1"/>
    <w:rsid w:val="7E947360"/>
    <w:rsid w:val="7FB01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3">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Times New Roman" w:hAnsi="Times New Roman" w:eastAsia="黑体" w:cs="Times New Roman"/>
      <w:sz w:val="36"/>
      <w:szCs w:val="20"/>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7">
    <w:name w:val="Plain Text"/>
    <w:basedOn w:val="1"/>
    <w:qFormat/>
    <w:uiPriority w:val="0"/>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line="480" w:lineRule="auto"/>
    </w:pPr>
    <w:rPr>
      <w:rFonts w:ascii="Times New Roman" w:hAnsi="Times New Roman" w:eastAsia="宋体" w:cs="Times New Roman"/>
    </w:r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2">
    <w:name w:val="Body Text First Indent"/>
    <w:basedOn w:val="4"/>
    <w:next w:val="13"/>
    <w:qFormat/>
    <w:uiPriority w:val="0"/>
    <w:pPr>
      <w:ind w:firstLine="420" w:firstLineChars="100"/>
    </w:pPr>
    <w:rPr>
      <w:rFonts w:ascii="宋体" w:hAnsi="Times New Roman" w:eastAsia="宋体" w:cs="Times New Roman"/>
      <w:kern w:val="0"/>
      <w:sz w:val="34"/>
      <w:szCs w:val="20"/>
    </w:rPr>
  </w:style>
  <w:style w:type="paragraph" w:styleId="13">
    <w:name w:val="Body Text First Indent 2"/>
    <w:basedOn w:val="5"/>
    <w:next w:val="1"/>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List Paragraph1"/>
    <w:basedOn w:val="1"/>
    <w:next w:val="1"/>
    <w:qFormat/>
    <w:uiPriority w:val="0"/>
    <w:pPr>
      <w:widowControl w:val="0"/>
      <w:spacing w:before="0" w:beforeLines="0" w:after="0" w:afterLines="0" w:line="240" w:lineRule="auto"/>
      <w:ind w:left="420" w:firstLine="3748"/>
      <w:jc w:val="both"/>
    </w:pPr>
  </w:style>
  <w:style w:type="paragraph" w:customStyle="1" w:styleId="19">
    <w:name w:val="Body Text First Indent"/>
    <w:basedOn w:val="4"/>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1382</Words>
  <Characters>1428</Characters>
  <Lines>0</Lines>
  <Paragraphs>0</Paragraphs>
  <TotalTime>3</TotalTime>
  <ScaleCrop>false</ScaleCrop>
  <LinksUpToDate>false</LinksUpToDate>
  <CharactersWithSpaces>1470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萌萌噠</cp:lastModifiedBy>
  <cp:lastPrinted>2025-05-26T01:23:00Z</cp:lastPrinted>
  <dcterms:modified xsi:type="dcterms:W3CDTF">2025-09-16T00:57:17Z</dcterms:modified>
  <dc:title>关于许禹供热长输管线项目勘察设计招标代理机构询比采购的邀请函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DE05AA19F912442889808E37B99D7F42_13</vt:lpwstr>
  </property>
  <property fmtid="{D5CDD505-2E9C-101B-9397-08002B2CF9AE}" pid="4" name="commondata">
    <vt:lpwstr>eyJoZGlkIjoiN2I0NDMxMDhhNzIxZjIxM2FiMjFkZWExNzY4MTY3OTUifQ==</vt:lpwstr>
  </property>
  <property fmtid="{D5CDD505-2E9C-101B-9397-08002B2CF9AE}" pid="5" name="KSOTemplateDocerSaveRecord">
    <vt:lpwstr>eyJoZGlkIjoiN2Q0ZTU2OGFkODI5YTZhZDA4NGU5MjI0YzlkZDliYWIiLCJ1c2VySWQiOiIxNDg3MzQ4MiJ9</vt:lpwstr>
  </property>
</Properties>
</file>