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593A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14:paraId="0F26B6E0">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4FA5EDF8">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Layout w:type="fixed"/>
        <w:tblCellMar>
          <w:top w:w="15" w:type="dxa"/>
          <w:left w:w="15" w:type="dxa"/>
          <w:bottom w:w="15" w:type="dxa"/>
          <w:right w:w="15" w:type="dxa"/>
        </w:tblCellMar>
      </w:tblPr>
      <w:tblGrid>
        <w:gridCol w:w="3134"/>
        <w:gridCol w:w="5549"/>
      </w:tblGrid>
      <w:tr w14:paraId="61F1321A">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24F8C8E9">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项目名称</w:t>
            </w:r>
          </w:p>
        </w:tc>
        <w:tc>
          <w:tcPr>
            <w:tcW w:w="5549" w:type="dxa"/>
            <w:tcBorders>
              <w:top w:val="single" w:color="000000" w:sz="4" w:space="0"/>
              <w:left w:val="single" w:color="000000" w:sz="4" w:space="0"/>
              <w:bottom w:val="single" w:color="000000" w:sz="4" w:space="0"/>
              <w:right w:val="single" w:color="000000" w:sz="4" w:space="0"/>
            </w:tcBorders>
            <w:vAlign w:val="center"/>
          </w:tcPr>
          <w:p w14:paraId="2C3C550B">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b/>
                <w:color w:val="000000"/>
                <w:sz w:val="24"/>
                <w:szCs w:val="24"/>
                <w:lang w:val="en-US" w:eastAsia="zh-CN"/>
              </w:rPr>
            </w:pPr>
            <w:r>
              <w:rPr>
                <w:rFonts w:hint="default" w:ascii="仿宋_GB2312" w:hAnsi="仿宋_GB2312" w:eastAsia="仿宋_GB2312" w:cs="仿宋_GB2312"/>
                <w:b/>
                <w:color w:val="000000"/>
                <w:sz w:val="24"/>
                <w:szCs w:val="24"/>
                <w:lang w:val="en-US" w:eastAsia="zh-CN"/>
              </w:rPr>
              <w:t>金叶鹿鸣花园项目外电接入工程监理单位比选</w:t>
            </w:r>
          </w:p>
        </w:tc>
      </w:tr>
      <w:tr w14:paraId="3359A7D7">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vAlign w:val="center"/>
          </w:tcPr>
          <w:p w14:paraId="4CB61C26">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申请人</w:t>
            </w:r>
          </w:p>
        </w:tc>
        <w:tc>
          <w:tcPr>
            <w:tcW w:w="5549" w:type="dxa"/>
            <w:tcBorders>
              <w:top w:val="single" w:color="000000" w:sz="4" w:space="0"/>
              <w:left w:val="single" w:color="000000" w:sz="4" w:space="0"/>
              <w:bottom w:val="single" w:color="000000" w:sz="4" w:space="0"/>
              <w:right w:val="single" w:color="000000" w:sz="4" w:space="0"/>
            </w:tcBorders>
            <w:vAlign w:val="center"/>
          </w:tcPr>
          <w:p w14:paraId="53D52B80">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78B9D44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5B70C76A">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申请人资质</w:t>
            </w:r>
          </w:p>
        </w:tc>
        <w:tc>
          <w:tcPr>
            <w:tcW w:w="5549" w:type="dxa"/>
            <w:tcBorders>
              <w:top w:val="single" w:color="000000" w:sz="4" w:space="0"/>
              <w:left w:val="single" w:color="000000" w:sz="4" w:space="0"/>
              <w:bottom w:val="single" w:color="000000" w:sz="4" w:space="0"/>
              <w:right w:val="single" w:color="000000" w:sz="4" w:space="0"/>
            </w:tcBorders>
            <w:vAlign w:val="center"/>
          </w:tcPr>
          <w:p w14:paraId="00BC178E">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39084994">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56DB7924">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项目负责人（职务）</w:t>
            </w:r>
          </w:p>
        </w:tc>
        <w:tc>
          <w:tcPr>
            <w:tcW w:w="5549" w:type="dxa"/>
            <w:tcBorders>
              <w:top w:val="single" w:color="000000" w:sz="4" w:space="0"/>
              <w:left w:val="single" w:color="000000" w:sz="4" w:space="0"/>
              <w:bottom w:val="single" w:color="000000" w:sz="4" w:space="0"/>
              <w:right w:val="single" w:color="000000" w:sz="4" w:space="0"/>
            </w:tcBorders>
            <w:vAlign w:val="center"/>
          </w:tcPr>
          <w:p w14:paraId="065049DA">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2452767C">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B4C825D">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bidi="ar"/>
              </w:rPr>
            </w:pPr>
            <w:r>
              <w:rPr>
                <w:rFonts w:hint="eastAsia" w:ascii="仿宋_GB2312" w:hAnsi="宋体" w:eastAsia="仿宋_GB2312" w:cs="仿宋_GB2312"/>
                <w:b/>
                <w:color w:val="000000"/>
                <w:kern w:val="0"/>
                <w:sz w:val="32"/>
                <w:szCs w:val="32"/>
                <w:lang w:val="en-US" w:eastAsia="zh-CN" w:bidi="ar"/>
              </w:rPr>
              <w:t>项目工作内容</w:t>
            </w:r>
          </w:p>
        </w:tc>
        <w:tc>
          <w:tcPr>
            <w:tcW w:w="5549" w:type="dxa"/>
            <w:tcBorders>
              <w:top w:val="single" w:color="000000" w:sz="4" w:space="0"/>
              <w:left w:val="single" w:color="000000" w:sz="4" w:space="0"/>
              <w:bottom w:val="single" w:color="000000" w:sz="4" w:space="0"/>
              <w:right w:val="single" w:color="000000" w:sz="4" w:space="0"/>
            </w:tcBorders>
            <w:vAlign w:val="center"/>
          </w:tcPr>
          <w:p w14:paraId="663B1285">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bidi="ar"/>
              </w:rPr>
            </w:pPr>
          </w:p>
        </w:tc>
      </w:tr>
      <w:tr w14:paraId="37FC8B52">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424F56B6">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报价</w:t>
            </w:r>
          </w:p>
        </w:tc>
        <w:tc>
          <w:tcPr>
            <w:tcW w:w="5549" w:type="dxa"/>
            <w:tcBorders>
              <w:top w:val="single" w:color="000000" w:sz="4" w:space="0"/>
              <w:left w:val="single" w:color="000000" w:sz="4" w:space="0"/>
              <w:bottom w:val="single" w:color="000000" w:sz="4" w:space="0"/>
              <w:right w:val="single" w:color="000000" w:sz="4" w:space="0"/>
            </w:tcBorders>
            <w:vAlign w:val="center"/>
          </w:tcPr>
          <w:p w14:paraId="51D55C27">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bidi="ar"/>
              </w:rPr>
            </w:pPr>
            <w:r>
              <w:rPr>
                <w:rFonts w:hint="eastAsia" w:ascii="仿宋_GB2312" w:hAnsi="宋体" w:eastAsia="仿宋_GB2312" w:cs="仿宋_GB2312"/>
                <w:b/>
                <w:color w:val="000000"/>
                <w:kern w:val="0"/>
                <w:sz w:val="32"/>
                <w:szCs w:val="32"/>
                <w:lang w:val="en-US" w:eastAsia="zh-CN" w:bidi="ar"/>
              </w:rPr>
              <w:t xml:space="preserve"> </w:t>
            </w:r>
          </w:p>
        </w:tc>
      </w:tr>
    </w:tbl>
    <w:p w14:paraId="39FFD88D">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02C90A3A">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78CF6190">
      <w:pPr>
        <w:pStyle w:val="9"/>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0161FBEC">
      <w:pPr>
        <w:rPr>
          <w:rFonts w:hint="eastAsia" w:ascii="仿宋_GB2312" w:hAnsi="仿宋_GB2312" w:eastAsia="仿宋_GB2312" w:cs="仿宋_GB2312"/>
          <w:sz w:val="32"/>
          <w:szCs w:val="32"/>
          <w:highlight w:val="none"/>
          <w:lang w:val="en-US" w:eastAsia="zh-CN"/>
        </w:rPr>
      </w:pPr>
    </w:p>
    <w:p w14:paraId="518DBE6D">
      <w:pPr>
        <w:rPr>
          <w:rFonts w:hint="eastAsia" w:ascii="仿宋_GB2312" w:hAnsi="仿宋_GB2312" w:eastAsia="仿宋_GB2312" w:cs="仿宋_GB2312"/>
          <w:sz w:val="32"/>
          <w:szCs w:val="32"/>
          <w:highlight w:val="none"/>
          <w:lang w:val="en-US" w:eastAsia="zh-CN"/>
        </w:rPr>
      </w:pPr>
    </w:p>
    <w:p w14:paraId="7E2F5B1B">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14:paraId="23492EB0">
      <w:pPr>
        <w:pStyle w:val="10"/>
        <w:spacing w:line="240" w:lineRule="auto"/>
        <w:ind w:firstLine="0" w:firstLineChars="0"/>
        <w:contextualSpacing/>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评标标准</w:t>
      </w:r>
    </w:p>
    <w:p w14:paraId="4EFF931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一、资格审查</w:t>
      </w:r>
    </w:p>
    <w:p w14:paraId="52D343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zh-CN" w:eastAsia="zh-CN"/>
        </w:rPr>
      </w:pPr>
      <w:r>
        <w:rPr>
          <w:rFonts w:hint="eastAsia" w:ascii="仿宋_GB2312" w:hAnsi="仿宋_GB2312" w:eastAsia="仿宋_GB2312" w:cs="仿宋_GB2312"/>
          <w:sz w:val="32"/>
          <w:szCs w:val="32"/>
          <w:lang w:eastAsia="zh-CN"/>
        </w:rPr>
        <w:t>评审小组对</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eastAsia="zh-CN"/>
        </w:rPr>
        <w:t>人资格进行检查。</w:t>
      </w:r>
      <w:r>
        <w:rPr>
          <w:rFonts w:hint="eastAsia" w:ascii="仿宋_GB2312" w:hAnsi="仿宋_GB2312" w:eastAsia="仿宋_GB2312" w:cs="仿宋_GB2312"/>
          <w:sz w:val="32"/>
          <w:szCs w:val="32"/>
          <w:lang w:val="zh-CN" w:eastAsia="zh-CN"/>
        </w:rPr>
        <w:t>确定符合资格的</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zh-CN" w:eastAsia="zh-CN"/>
        </w:rPr>
        <w:t>人不少于3</w:t>
      </w:r>
      <w:r>
        <w:rPr>
          <w:rFonts w:hint="eastAsia" w:ascii="仿宋_GB2312" w:hAnsi="仿宋_GB2312" w:eastAsia="仿宋_GB2312" w:cs="仿宋_GB2312"/>
          <w:color w:val="auto"/>
          <w:sz w:val="32"/>
          <w:szCs w:val="32"/>
          <w:lang w:val="zh-CN" w:eastAsia="zh-CN"/>
        </w:rPr>
        <w:t>家后对投标文件进行符合性审查，</w:t>
      </w:r>
      <w:r>
        <w:rPr>
          <w:rFonts w:hint="eastAsia" w:ascii="仿宋_GB2312" w:hAnsi="仿宋_GB2312" w:eastAsia="仿宋_GB2312" w:cs="仿宋_GB2312"/>
          <w:color w:val="auto"/>
          <w:sz w:val="32"/>
          <w:szCs w:val="32"/>
          <w:lang w:val="en-US" w:eastAsia="zh-CN"/>
        </w:rPr>
        <w:t>少于三家则本次评标过程无效</w:t>
      </w:r>
      <w:r>
        <w:rPr>
          <w:rFonts w:hint="eastAsia" w:ascii="仿宋_GB2312" w:hAnsi="仿宋_GB2312" w:eastAsia="仿宋_GB2312" w:cs="仿宋_GB2312"/>
          <w:color w:val="auto"/>
          <w:sz w:val="32"/>
          <w:szCs w:val="32"/>
          <w:lang w:val="zh-CN" w:eastAsia="zh-CN"/>
        </w:rPr>
        <w:t>。</w:t>
      </w:r>
    </w:p>
    <w:p w14:paraId="79492F8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二、评审</w:t>
      </w:r>
    </w:p>
    <w:p w14:paraId="0D1B645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（一）评审方法</w:t>
      </w:r>
    </w:p>
    <w:p w14:paraId="01B0518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本项目采用综合评分法。总分为 100 分。</w:t>
      </w:r>
    </w:p>
    <w:p w14:paraId="0127E26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2ED2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5B3E3494">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分值构成</w:t>
            </w:r>
          </w:p>
          <w:p w14:paraId="0924E1EB">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(总分100分)</w:t>
            </w:r>
          </w:p>
        </w:tc>
        <w:tc>
          <w:tcPr>
            <w:tcW w:w="6786" w:type="dxa"/>
            <w:vAlign w:val="center"/>
          </w:tcPr>
          <w:p w14:paraId="2F9E7CB6">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企业报价：</w:t>
            </w:r>
            <w:r>
              <w:rPr>
                <w:rFonts w:hint="eastAsia" w:ascii="仿宋_GB2312" w:hAnsi="仿宋_GB2312" w:eastAsia="仿宋_GB2312" w:cs="仿宋_GB2312"/>
                <w:sz w:val="32"/>
                <w:szCs w:val="32"/>
                <w:lang w:val="en-US" w:eastAsia="zh-CN"/>
              </w:rPr>
              <w:t xml:space="preserve"> 30 </w:t>
            </w:r>
            <w:r>
              <w:rPr>
                <w:rFonts w:hint="eastAsia" w:ascii="仿宋_GB2312" w:hAnsi="仿宋_GB2312" w:eastAsia="仿宋_GB2312" w:cs="仿宋_GB2312"/>
                <w:sz w:val="32"/>
                <w:szCs w:val="32"/>
                <w:lang w:val="zh-CN"/>
              </w:rPr>
              <w:t>分</w:t>
            </w:r>
          </w:p>
          <w:p w14:paraId="659FFA28">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服务方案</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30</w:t>
            </w:r>
            <w:r>
              <w:rPr>
                <w:rFonts w:hint="eastAsia" w:ascii="仿宋_GB2312" w:hAnsi="仿宋_GB2312" w:eastAsia="仿宋_GB2312" w:cs="仿宋_GB2312"/>
                <w:sz w:val="32"/>
                <w:szCs w:val="32"/>
                <w:lang w:val="zh-CN" w:eastAsia="zh-CN"/>
              </w:rPr>
              <w:t xml:space="preserve"> 分</w:t>
            </w:r>
          </w:p>
          <w:p w14:paraId="3AD32322">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企业业绩</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20 </w:t>
            </w:r>
            <w:r>
              <w:rPr>
                <w:rFonts w:hint="eastAsia" w:ascii="仿宋_GB2312" w:hAnsi="仿宋_GB2312" w:eastAsia="仿宋_GB2312" w:cs="仿宋_GB2312"/>
                <w:sz w:val="32"/>
                <w:szCs w:val="32"/>
                <w:lang w:val="zh-CN" w:eastAsia="zh-CN"/>
              </w:rPr>
              <w:t>分</w:t>
            </w:r>
          </w:p>
          <w:p w14:paraId="7E86CDFC">
            <w:pPr>
              <w:widowControl/>
              <w:adjustRightInd w:val="0"/>
              <w:snapToGrid w:val="0"/>
              <w:spacing w:line="276" w:lineRule="auto"/>
              <w:jc w:val="left"/>
              <w:rPr>
                <w:rFonts w:hint="eastAsia"/>
                <w:lang w:val="en-US"/>
              </w:rPr>
            </w:pPr>
            <w:r>
              <w:rPr>
                <w:rFonts w:hint="eastAsia" w:ascii="仿宋_GB2312" w:hAnsi="仿宋_GB2312" w:eastAsia="仿宋_GB2312" w:cs="仿宋_GB2312"/>
                <w:sz w:val="32"/>
                <w:szCs w:val="32"/>
                <w:lang w:val="en-US" w:eastAsia="zh-CN"/>
              </w:rPr>
              <w:t>管理机构： 20 分</w:t>
            </w:r>
          </w:p>
        </w:tc>
      </w:tr>
      <w:tr w14:paraId="6011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6E39E232">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评审项</w:t>
            </w:r>
          </w:p>
        </w:tc>
        <w:tc>
          <w:tcPr>
            <w:tcW w:w="6786" w:type="dxa"/>
            <w:tcMar>
              <w:top w:w="0" w:type="dxa"/>
              <w:left w:w="0" w:type="dxa"/>
              <w:bottom w:w="0" w:type="dxa"/>
              <w:right w:w="0" w:type="dxa"/>
            </w:tcMar>
            <w:vAlign w:val="center"/>
          </w:tcPr>
          <w:p w14:paraId="7400E6C4">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评标标准</w:t>
            </w:r>
          </w:p>
        </w:tc>
      </w:tr>
      <w:tr w14:paraId="1C28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4BA2F772">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报价</w:t>
            </w:r>
          </w:p>
          <w:p w14:paraId="495DA7B4">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tc>
        <w:tc>
          <w:tcPr>
            <w:tcW w:w="6786" w:type="dxa"/>
            <w:tcMar>
              <w:top w:w="0" w:type="dxa"/>
              <w:left w:w="0" w:type="dxa"/>
              <w:bottom w:w="0" w:type="dxa"/>
              <w:right w:w="0" w:type="dxa"/>
            </w:tcMar>
            <w:vAlign w:val="center"/>
          </w:tcPr>
          <w:p w14:paraId="45D593F7">
            <w:pPr>
              <w:widowControl/>
              <w:spacing w:line="440" w:lineRule="exact"/>
              <w:jc w:val="left"/>
              <w:textAlignment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1.收费超过</w:t>
            </w:r>
            <w:r>
              <w:rPr>
                <w:rFonts w:hint="eastAsia" w:ascii="仿宋_GB2312" w:hAnsi="仿宋_GB2312" w:eastAsia="仿宋_GB2312" w:cs="仿宋_GB2312"/>
                <w:sz w:val="32"/>
                <w:szCs w:val="32"/>
                <w:lang w:val="en-US" w:eastAsia="zh-CN"/>
              </w:rPr>
              <w:t>控制价的</w:t>
            </w:r>
            <w:r>
              <w:rPr>
                <w:rFonts w:hint="eastAsia" w:ascii="仿宋_GB2312" w:hAnsi="仿宋_GB2312" w:eastAsia="仿宋_GB2312" w:cs="仿宋_GB2312"/>
                <w:sz w:val="32"/>
                <w:szCs w:val="32"/>
                <w:lang w:val="zh-CN"/>
              </w:rPr>
              <w:t>为无效报价；</w:t>
            </w:r>
          </w:p>
          <w:p w14:paraId="28D35020">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评标基准价：</w:t>
            </w:r>
            <w:r>
              <w:rPr>
                <w:rFonts w:hint="default" w:ascii="Times New Roman" w:hAnsi="Times New Roman" w:eastAsia="仿宋_GB2312" w:cs="Times New Roman"/>
                <w:sz w:val="32"/>
                <w:szCs w:val="32"/>
                <w:lang w:val="en-US" w:eastAsia="zh-CN"/>
              </w:rPr>
              <w:t>费率最低的</w:t>
            </w:r>
            <w:r>
              <w:rPr>
                <w:rFonts w:hint="eastAsia" w:eastAsia="仿宋_GB2312" w:cs="Times New Roman"/>
                <w:sz w:val="32"/>
                <w:szCs w:val="32"/>
                <w:lang w:val="en-US" w:eastAsia="zh-CN"/>
              </w:rPr>
              <w:t>报价</w:t>
            </w:r>
            <w:r>
              <w:rPr>
                <w:rFonts w:hint="default" w:ascii="Times New Roman" w:hAnsi="Times New Roman" w:eastAsia="仿宋_GB2312" w:cs="Times New Roman"/>
                <w:sz w:val="32"/>
                <w:szCs w:val="32"/>
                <w:lang w:val="en-US" w:eastAsia="zh-CN"/>
              </w:rPr>
              <w:t>为评标基准价</w:t>
            </w:r>
            <w:r>
              <w:rPr>
                <w:rFonts w:hint="eastAsia" w:eastAsia="仿宋_GB2312" w:cs="Times New Roman"/>
                <w:sz w:val="32"/>
                <w:szCs w:val="32"/>
                <w:lang w:val="en-US" w:eastAsia="zh-CN"/>
              </w:rPr>
              <w:t>。</w:t>
            </w:r>
          </w:p>
          <w:p w14:paraId="5197B5C8">
            <w:pPr>
              <w:widowControl/>
              <w:adjustRightInd w:val="0"/>
              <w:snapToGrid w:val="0"/>
              <w:spacing w:line="276" w:lineRule="auto"/>
              <w:jc w:val="left"/>
              <w:rPr>
                <w:rFonts w:hint="eastAsia" w:ascii="仿宋_GB2312" w:hAnsi="仿宋_GB2312" w:eastAsia="仿宋_GB2312" w:cs="仿宋_GB2312"/>
                <w:sz w:val="32"/>
                <w:szCs w:val="32"/>
              </w:rPr>
            </w:pPr>
            <w:r>
              <w:rPr>
                <w:rFonts w:hint="eastAsia" w:eastAsiaTheme="minorEastAsia"/>
                <w:position w:val="-26"/>
                <w:lang w:eastAsia="zh-CN"/>
              </w:rPr>
              <w:object>
                <v:shape id="_x0000_i1025" o:spt="75" type="#_x0000_t75" style="height:33pt;width:146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tc>
      </w:tr>
      <w:tr w14:paraId="0504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43930394">
            <w:pPr>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服务方案</w:t>
            </w:r>
          </w:p>
          <w:p w14:paraId="593DE1B5">
            <w:pPr>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（30分）</w:t>
            </w:r>
          </w:p>
        </w:tc>
        <w:tc>
          <w:tcPr>
            <w:tcW w:w="6786" w:type="dxa"/>
            <w:tcMar>
              <w:top w:w="0" w:type="dxa"/>
              <w:left w:w="0" w:type="dxa"/>
              <w:bottom w:w="0" w:type="dxa"/>
              <w:right w:w="0" w:type="dxa"/>
            </w:tcMar>
            <w:vAlign w:val="center"/>
          </w:tcPr>
          <w:p w14:paraId="45821EB7">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1.质量控制：总体质量控制目标满足招标文件要求，且对质量 控制目标进行了合理分解、规划（0-6分）；</w:t>
            </w:r>
          </w:p>
          <w:p w14:paraId="5ABABCB0">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2.进度控制：对总体进度目标分解合理，能体现预控和全面控制能力（0-6分）；</w:t>
            </w:r>
          </w:p>
          <w:p w14:paraId="35322053">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3.安全措施：安全控制措施周密，安全控制手段合理（0-6分）；</w:t>
            </w:r>
          </w:p>
          <w:p w14:paraId="3E969032">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4.档案及合同管理：工程档案管理措施切实可行，并设置专职人员进行管理（0-6分）；</w:t>
            </w:r>
          </w:p>
          <w:p w14:paraId="570352BE">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leftChars="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5.工作制度：根据验收制度、签证制度、会议制度、公司对项目监理机构的监控制度、季报(月报)制度、公司对项目监理机构的奖惩考核制度等各项制度健全完善情况，酌情打分（0-6分）。</w:t>
            </w:r>
          </w:p>
        </w:tc>
      </w:tr>
      <w:tr w14:paraId="7377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358F4957">
            <w:pPr>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企业业绩</w:t>
            </w:r>
          </w:p>
          <w:p w14:paraId="47CFAB5C">
            <w:pPr>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（20分）</w:t>
            </w:r>
          </w:p>
        </w:tc>
        <w:tc>
          <w:tcPr>
            <w:tcW w:w="6786" w:type="dxa"/>
            <w:tcMar>
              <w:top w:w="0" w:type="dxa"/>
              <w:left w:w="0" w:type="dxa"/>
              <w:bottom w:w="0" w:type="dxa"/>
              <w:right w:w="0" w:type="dxa"/>
            </w:tcMar>
            <w:vAlign w:val="center"/>
          </w:tcPr>
          <w:p w14:paraId="7FF8003C">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1.企业业绩：自</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年1月1日以来，投标人具有类似项目业绩的</w:t>
            </w:r>
            <w:r>
              <w:rPr>
                <w:rFonts w:hint="eastAsia" w:ascii="仿宋_GB2312" w:hAnsi="仿宋_GB2312" w:eastAsia="仿宋_GB2312" w:cs="仿宋_GB2312"/>
                <w:sz w:val="32"/>
                <w:szCs w:val="32"/>
                <w:lang w:val="en-US" w:eastAsia="zh-CN"/>
              </w:rPr>
              <w:t>，每项</w:t>
            </w:r>
            <w:r>
              <w:rPr>
                <w:rFonts w:hint="default"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分，最高得</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分。时间以合同签订时间为准，需提供中标通知书、合同协议书原件扫描件（或图片）</w:t>
            </w:r>
            <w:r>
              <w:rPr>
                <w:rFonts w:hint="eastAsia" w:ascii="仿宋_GB2312" w:hAnsi="仿宋_GB2312" w:eastAsia="仿宋_GB2312" w:cs="仿宋_GB2312"/>
                <w:sz w:val="32"/>
                <w:szCs w:val="32"/>
                <w:lang w:val="en-US" w:eastAsia="zh-CN"/>
              </w:rPr>
              <w:t>或</w:t>
            </w:r>
            <w:r>
              <w:rPr>
                <w:rFonts w:hint="default" w:ascii="仿宋_GB2312" w:hAnsi="仿宋_GB2312" w:eastAsia="仿宋_GB2312" w:cs="仿宋_GB2312"/>
                <w:sz w:val="32"/>
                <w:szCs w:val="32"/>
                <w:lang w:val="en-US" w:eastAsia="zh-CN"/>
              </w:rPr>
              <w:t>合同协议书</w:t>
            </w:r>
            <w:r>
              <w:rPr>
                <w:rFonts w:hint="eastAsia" w:ascii="仿宋_GB2312" w:hAnsi="仿宋_GB2312" w:eastAsia="仿宋_GB2312" w:cs="仿宋_GB2312"/>
                <w:sz w:val="32"/>
                <w:szCs w:val="32"/>
                <w:lang w:val="en-US" w:eastAsia="zh-CN"/>
              </w:rPr>
              <w:t>、竣工验收报告</w:t>
            </w:r>
            <w:r>
              <w:rPr>
                <w:rFonts w:hint="default" w:ascii="仿宋_GB2312" w:hAnsi="仿宋_GB2312" w:eastAsia="仿宋_GB2312" w:cs="仿宋_GB2312"/>
                <w:sz w:val="32"/>
                <w:szCs w:val="32"/>
                <w:lang w:val="en-US" w:eastAsia="zh-CN"/>
              </w:rPr>
              <w:t>原件扫描件（或图片）</w:t>
            </w:r>
            <w:r>
              <w:rPr>
                <w:rFonts w:hint="eastAsia" w:ascii="仿宋_GB2312" w:hAnsi="仿宋_GB2312" w:eastAsia="仿宋_GB2312" w:cs="仿宋_GB2312"/>
                <w:sz w:val="32"/>
                <w:szCs w:val="32"/>
                <w:lang w:val="en-US" w:eastAsia="zh-CN"/>
              </w:rPr>
              <w:t>。</w:t>
            </w:r>
          </w:p>
          <w:p w14:paraId="75C5143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荣誉：自2022年1月1日以来获得过省级及以上优秀工程监理企业（诚信建设先进企业）奖项得5分；市级的得3分，本项最高得10分。时间以证书日期为准，以关于获奖项目通知的红头文件及证书的原件扫描件（或图片）为准；同一项目不同获奖不重复计分。</w:t>
            </w:r>
          </w:p>
        </w:tc>
      </w:tr>
      <w:tr w14:paraId="0E9B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53046447">
            <w:pPr>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管理机构</w:t>
            </w:r>
          </w:p>
          <w:p w14:paraId="2D05B0C7">
            <w:pPr>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（20分）</w:t>
            </w:r>
          </w:p>
        </w:tc>
        <w:tc>
          <w:tcPr>
            <w:tcW w:w="6786" w:type="dxa"/>
            <w:tcMar>
              <w:top w:w="0" w:type="dxa"/>
              <w:left w:w="0" w:type="dxa"/>
              <w:bottom w:w="0" w:type="dxa"/>
              <w:right w:w="0" w:type="dxa"/>
            </w:tcMar>
            <w:vAlign w:val="center"/>
          </w:tcPr>
          <w:p w14:paraId="123A354A">
            <w:pPr>
              <w:pStyle w:val="2"/>
              <w:keepNext w:val="0"/>
              <w:keepLines w:val="0"/>
              <w:pageBreakBefore w:val="0"/>
              <w:kinsoku/>
              <w:wordWrap/>
              <w:overflowPunct/>
              <w:topLinePunct w:val="0"/>
              <w:autoSpaceDE/>
              <w:autoSpaceDN/>
              <w:bidi w:val="0"/>
              <w:spacing w:beforeAutospacing="0" w:afterAutospacing="0" w:line="600" w:lineRule="exact"/>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（1）投标人拟派项目人员机构，须包括监理项目负责人(总监理工程师) 、一级造价工程师、总监理工程师代表、专业监理工程师、监理员、安全员、见证员、资料员专职人员配备齐全得10分，缺项不得分。 </w:t>
            </w:r>
          </w:p>
          <w:p w14:paraId="34441735">
            <w:pPr>
              <w:pStyle w:val="2"/>
              <w:keepNext w:val="0"/>
              <w:keepLines w:val="0"/>
              <w:pageBreakBefore w:val="0"/>
              <w:kinsoku/>
              <w:wordWrap/>
              <w:overflowPunct/>
              <w:topLinePunct w:val="0"/>
              <w:autoSpaceDE/>
              <w:autoSpaceDN/>
              <w:bidi w:val="0"/>
              <w:spacing w:beforeAutospacing="0" w:afterAutospacing="0" w:line="600" w:lineRule="exact"/>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（2）投标人拟派项目人员机构中每增加1名一级造价工程师得3分，本项最高得6分。 </w:t>
            </w:r>
          </w:p>
          <w:p w14:paraId="52EFF860">
            <w:pPr>
              <w:pStyle w:val="2"/>
              <w:keepNext w:val="0"/>
              <w:keepLines w:val="0"/>
              <w:pageBreakBefore w:val="0"/>
              <w:kinsoku/>
              <w:wordWrap/>
              <w:overflowPunct/>
              <w:topLinePunct w:val="0"/>
              <w:autoSpaceDE/>
              <w:autoSpaceDN/>
              <w:bidi w:val="0"/>
              <w:spacing w:beforeAutospacing="0" w:afterAutospacing="0" w:line="600" w:lineRule="exact"/>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（3）投标人拟派项目监理机构人员具有注册安全工程师的得4分，本项最高得4分。 </w:t>
            </w:r>
          </w:p>
          <w:p w14:paraId="21801614">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rPr>
                <w:rFonts w:hint="eastAsia"/>
                <w:lang w:val="en-US" w:eastAsia="zh-CN"/>
              </w:rPr>
            </w:pPr>
          </w:p>
        </w:tc>
      </w:tr>
    </w:tbl>
    <w:p w14:paraId="1E6589B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）推荐</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b/>
          <w:bCs/>
          <w:sz w:val="32"/>
          <w:szCs w:val="32"/>
          <w:lang w:val="zh-CN" w:eastAsia="zh-CN"/>
        </w:rPr>
        <w:t>候选人</w:t>
      </w:r>
    </w:p>
    <w:p w14:paraId="202B21B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采用综合评分法，按照得分由高到低确定候选人</w:t>
      </w:r>
      <w:r>
        <w:rPr>
          <w:rFonts w:hint="eastAsia" w:ascii="仿宋" w:hAnsi="仿宋" w:eastAsia="仿宋" w:cs="仿宋"/>
          <w:sz w:val="32"/>
          <w:szCs w:val="32"/>
          <w:highlight w:val="none"/>
          <w:lang w:val="en-US" w:eastAsia="zh-CN"/>
        </w:rPr>
        <w:t>。</w:t>
      </w:r>
    </w:p>
    <w:p w14:paraId="72587CCB">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1C0655AE">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05BC23F1">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51AEC25B">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242B6D38">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5751D37B">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5EE8A039">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6810DE87">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26197E16">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14CDFCA3">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205052D9">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4E5B102C">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3C918139">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7E5E7B80">
      <w:pPr>
        <w:pStyle w:val="5"/>
        <w:keepNext w:val="0"/>
        <w:keepLines w:val="0"/>
        <w:pageBreakBefore w:val="0"/>
        <w:kinsoku/>
        <w:wordWrap/>
        <w:overflowPunct/>
        <w:topLinePunct w:val="0"/>
        <w:autoSpaceDE/>
        <w:autoSpaceDN/>
        <w:bidi w:val="0"/>
        <w:spacing w:beforeAutospacing="0" w:after="0" w:afterAutospacing="0" w:line="600" w:lineRule="exact"/>
        <w:textAlignment w:val="auto"/>
        <w:rPr>
          <w:rFonts w:hint="eastAsia" w:ascii="仿宋" w:hAnsi="仿宋" w:eastAsia="仿宋" w:cs="仿宋"/>
          <w:sz w:val="32"/>
          <w:szCs w:val="32"/>
          <w:highlight w:val="none"/>
          <w:lang w:val="en-US" w:eastAsia="zh-CN"/>
        </w:rPr>
      </w:pPr>
    </w:p>
    <w:p w14:paraId="30EAD545">
      <w:pPr>
        <w:pStyle w:val="5"/>
        <w:keepNext w:val="0"/>
        <w:keepLines w:val="0"/>
        <w:pageBreakBefore w:val="0"/>
        <w:kinsoku/>
        <w:wordWrap/>
        <w:overflowPunct/>
        <w:topLinePunct w:val="0"/>
        <w:autoSpaceDE/>
        <w:autoSpaceDN/>
        <w:bidi w:val="0"/>
        <w:spacing w:beforeAutospacing="0" w:after="0" w:afterAutospacing="0" w:line="600" w:lineRule="exact"/>
        <w:ind w:left="0" w:leftChars="0" w:firstLine="0" w:firstLineChars="0"/>
        <w:textAlignment w:val="auto"/>
        <w:rPr>
          <w:rFonts w:hint="eastAsia" w:ascii="仿宋" w:hAnsi="仿宋" w:eastAsia="仿宋" w:cs="仿宋"/>
          <w:sz w:val="32"/>
          <w:szCs w:val="32"/>
          <w:highlight w:val="none"/>
          <w:lang w:val="en-US" w:eastAsia="zh-CN"/>
        </w:rPr>
      </w:pPr>
    </w:p>
    <w:p w14:paraId="1AB8013F">
      <w:pPr>
        <w:pStyle w:val="5"/>
        <w:keepNext w:val="0"/>
        <w:keepLines w:val="0"/>
        <w:pageBreakBefore w:val="0"/>
        <w:kinsoku/>
        <w:wordWrap/>
        <w:overflowPunct/>
        <w:topLinePunct w:val="0"/>
        <w:autoSpaceDE/>
        <w:autoSpaceDN/>
        <w:bidi w:val="0"/>
        <w:spacing w:beforeAutospacing="0" w:after="0" w:afterAutospacing="0" w:line="600" w:lineRule="exact"/>
        <w:ind w:left="0" w:leftChars="0" w:firstLine="0" w:firstLineChars="0"/>
        <w:textAlignment w:val="auto"/>
        <w:rPr>
          <w:rFonts w:hint="default" w:eastAsia="仿宋_GB2312"/>
          <w:sz w:val="32"/>
          <w:szCs w:val="32"/>
          <w:lang w:eastAsia="zh-CN"/>
        </w:rPr>
      </w:pPr>
      <w:bookmarkStart w:id="0" w:name="_GoBack"/>
      <w:bookmarkEnd w:id="0"/>
      <w:r>
        <w:rPr>
          <w:rFonts w:hint="eastAsia" w:ascii="仿宋" w:hAnsi="仿宋" w:eastAsia="仿宋" w:cs="仿宋"/>
          <w:sz w:val="32"/>
          <w:szCs w:val="32"/>
          <w:highlight w:val="none"/>
          <w:lang w:val="en-US" w:eastAsia="zh-CN"/>
        </w:rPr>
        <w:t>附件3：</w:t>
      </w:r>
    </w:p>
    <w:p w14:paraId="4D5B641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3E805350">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sz w:val="32"/>
          <w:szCs w:val="32"/>
        </w:rPr>
      </w:pPr>
    </w:p>
    <w:p w14:paraId="2FE83A54">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w:t>
      </w:r>
    </w:p>
    <w:p w14:paraId="371BB3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为维护公平竞争的市场环境，确保经济活动的廉洁性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合法性和透明度，防止任何形式的不正当交易及腐败行为，</w:t>
      </w:r>
      <w:r>
        <w:rPr>
          <w:rFonts w:hint="eastAsia" w:ascii="仿宋_GB2312" w:hAnsi="仿宋_GB2312" w:eastAsia="仿宋_GB2312" w:cs="仿宋_GB2312"/>
          <w:color w:val="auto"/>
          <w:sz w:val="32"/>
          <w:szCs w:val="32"/>
          <w:lang w:val="en-US" w:eastAsia="zh-CN"/>
        </w:rPr>
        <w:t>我单位作为投标人，郑重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rPr>
        <w:t>:</w:t>
      </w:r>
    </w:p>
    <w:p w14:paraId="7777E65C">
      <w:pPr>
        <w:pStyle w:val="18"/>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严格遵守国家及地方关于招投标、市场竞争的相关法律法规，不使用不正当手段妨碍、排挤相关投标单位或串通投标</w:t>
      </w:r>
      <w:r>
        <w:rPr>
          <w:rFonts w:hint="eastAsia" w:ascii="仿宋_GB2312" w:hAnsi="仿宋_GB2312" w:eastAsia="仿宋_GB2312" w:cs="仿宋_GB2312"/>
          <w:color w:val="auto"/>
          <w:sz w:val="32"/>
          <w:szCs w:val="32"/>
          <w:lang w:eastAsia="zh-CN"/>
        </w:rPr>
        <w:t>。</w:t>
      </w:r>
    </w:p>
    <w:p w14:paraId="48196DF9">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2.不以任何形式(包括但不限于现金、礼品、有价证券回扣、佣金、提供旅游、娱乐活动等)向招标人员、评标专家或其他</w:t>
      </w:r>
      <w:r>
        <w:rPr>
          <w:rFonts w:hint="eastAsia" w:ascii="仿宋_GB2312" w:hAnsi="仿宋_GB2312" w:eastAsia="仿宋_GB2312" w:cs="仿宋_GB2312"/>
          <w:color w:val="auto"/>
          <w:sz w:val="32"/>
          <w:szCs w:val="32"/>
          <w:lang w:val="en-US" w:eastAsia="zh-CN"/>
        </w:rPr>
        <w:t>利害关系方</w:t>
      </w:r>
      <w:r>
        <w:rPr>
          <w:rFonts w:hint="eastAsia" w:ascii="仿宋_GB2312" w:hAnsi="仿宋_GB2312" w:eastAsia="仿宋_GB2312" w:cs="仿宋_GB2312"/>
          <w:color w:val="auto"/>
          <w:sz w:val="32"/>
          <w:szCs w:val="32"/>
        </w:rPr>
        <w:t>进行贿赂或给予不正当利益。</w:t>
      </w:r>
    </w:p>
    <w:p w14:paraId="688F2D0B">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3.不进行任何可能影响招标公平、公正的活动或尝试干预评标过程。</w:t>
      </w:r>
    </w:p>
    <w:p w14:paraId="3E8E9F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如违反上述承诺，我单位愿意接受包括但不限于取消投标资格、中标无效、列入不良行为记录名单等，给招标单位造成损失的，依法承担赔偿责任。</w:t>
      </w:r>
    </w:p>
    <w:p w14:paraId="69B2357F">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2FDE3B44">
      <w:pPr>
        <w:ind w:firstLine="6400" w:firstLineChars="2000"/>
        <w:rPr>
          <w:rFonts w:hint="eastAsia" w:ascii="仿宋_GB2312" w:hAnsi="仿宋_GB2312" w:eastAsia="仿宋_GB2312" w:cs="仿宋_GB2312"/>
          <w:sz w:val="32"/>
          <w:szCs w:val="32"/>
        </w:rPr>
      </w:pPr>
    </w:p>
    <w:p w14:paraId="3BE33FB5">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14:paraId="5603DCC8">
      <w:pPr>
        <w:ind w:firstLine="4160" w:firstLineChars="1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日期:</w:t>
      </w:r>
    </w:p>
    <w:p w14:paraId="23BBDC2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F00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79D768">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079D768">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8"/>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WI0OGVmZWU4ZDY0N2NiNDcwNmU3N2UxMzlkMWIifQ=="/>
    <w:docVar w:name="KSO_WPS_MARK_KEY" w:val="e10be619-05dc-41cf-93cb-fd70e9d7f3f3"/>
  </w:docVars>
  <w:rsids>
    <w:rsidRoot w:val="00172A27"/>
    <w:rsid w:val="033A76CC"/>
    <w:rsid w:val="03BE2780"/>
    <w:rsid w:val="04760788"/>
    <w:rsid w:val="0477594A"/>
    <w:rsid w:val="065A0AB0"/>
    <w:rsid w:val="06CC2F9E"/>
    <w:rsid w:val="07E774FE"/>
    <w:rsid w:val="07FF36BC"/>
    <w:rsid w:val="0A2C0437"/>
    <w:rsid w:val="0BFD4952"/>
    <w:rsid w:val="0DCD1AE2"/>
    <w:rsid w:val="0EBA5CB8"/>
    <w:rsid w:val="0F1958F7"/>
    <w:rsid w:val="100B7DD6"/>
    <w:rsid w:val="117E16C8"/>
    <w:rsid w:val="13EC5CD8"/>
    <w:rsid w:val="17A51BCE"/>
    <w:rsid w:val="1CEB654E"/>
    <w:rsid w:val="1DC22489"/>
    <w:rsid w:val="1E6710C6"/>
    <w:rsid w:val="1EEF08D7"/>
    <w:rsid w:val="1FF32ECF"/>
    <w:rsid w:val="217549F7"/>
    <w:rsid w:val="234B5C3C"/>
    <w:rsid w:val="250B339C"/>
    <w:rsid w:val="255305E4"/>
    <w:rsid w:val="26CB0E4D"/>
    <w:rsid w:val="27BF38CF"/>
    <w:rsid w:val="283F1AED"/>
    <w:rsid w:val="29E1276B"/>
    <w:rsid w:val="2BC62952"/>
    <w:rsid w:val="2CE8602F"/>
    <w:rsid w:val="2EC3522E"/>
    <w:rsid w:val="309143F1"/>
    <w:rsid w:val="31187CAE"/>
    <w:rsid w:val="331104CE"/>
    <w:rsid w:val="33795E2E"/>
    <w:rsid w:val="35DA0371"/>
    <w:rsid w:val="36EC5FD8"/>
    <w:rsid w:val="396F1F22"/>
    <w:rsid w:val="39B06AF4"/>
    <w:rsid w:val="3A001C20"/>
    <w:rsid w:val="3B930354"/>
    <w:rsid w:val="3BFE6232"/>
    <w:rsid w:val="3D1D6AF8"/>
    <w:rsid w:val="41100796"/>
    <w:rsid w:val="438D7307"/>
    <w:rsid w:val="454A3AE3"/>
    <w:rsid w:val="461026EE"/>
    <w:rsid w:val="464042EF"/>
    <w:rsid w:val="47B42BE7"/>
    <w:rsid w:val="47FB2A68"/>
    <w:rsid w:val="4A3D2009"/>
    <w:rsid w:val="4B2116C3"/>
    <w:rsid w:val="4F385BBD"/>
    <w:rsid w:val="533D7674"/>
    <w:rsid w:val="53494F95"/>
    <w:rsid w:val="54DF6509"/>
    <w:rsid w:val="58892C4B"/>
    <w:rsid w:val="589C7FC2"/>
    <w:rsid w:val="59266DFD"/>
    <w:rsid w:val="592D19D8"/>
    <w:rsid w:val="596040BD"/>
    <w:rsid w:val="5CF873CF"/>
    <w:rsid w:val="5DCE7B32"/>
    <w:rsid w:val="61215F42"/>
    <w:rsid w:val="629E645C"/>
    <w:rsid w:val="62F72DBF"/>
    <w:rsid w:val="63B41DA5"/>
    <w:rsid w:val="64E3180B"/>
    <w:rsid w:val="655F1E1A"/>
    <w:rsid w:val="68F608D3"/>
    <w:rsid w:val="6BA97B57"/>
    <w:rsid w:val="6CAC04F4"/>
    <w:rsid w:val="70722F5B"/>
    <w:rsid w:val="70D44079"/>
    <w:rsid w:val="73357F10"/>
    <w:rsid w:val="768D3F82"/>
    <w:rsid w:val="77E57406"/>
    <w:rsid w:val="79E97840"/>
    <w:rsid w:val="7B0E51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9">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qFormat/>
    <w:uiPriority w:val="0"/>
    <w:pPr>
      <w:jc w:val="center"/>
    </w:pPr>
    <w:rPr>
      <w:rFonts w:ascii="Times New Roman" w:hAnsi="Times New Roman" w:eastAsia="黑体" w:cs="Times New Roman"/>
      <w:sz w:val="36"/>
      <w:szCs w:val="20"/>
    </w:rPr>
  </w:style>
  <w:style w:type="paragraph" w:styleId="4">
    <w:name w:val="Body Text 2"/>
    <w:basedOn w:val="1"/>
    <w:qFormat/>
    <w:uiPriority w:val="0"/>
    <w:pPr>
      <w:spacing w:line="480" w:lineRule="auto"/>
    </w:pPr>
    <w:rPr>
      <w:rFonts w:ascii="Times New Roman" w:hAnsi="Times New Roman" w:eastAsia="宋体" w:cs="Times New Roman"/>
    </w:rPr>
  </w:style>
  <w:style w:type="paragraph" w:styleId="5">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6">
    <w:name w:val="Body Text Indent"/>
    <w:basedOn w:val="1"/>
    <w:next w:val="7"/>
    <w:qFormat/>
    <w:uiPriority w:val="99"/>
    <w:pPr>
      <w:spacing w:after="120"/>
      <w:ind w:left="420" w:leftChars="200"/>
    </w:pPr>
  </w:style>
  <w:style w:type="paragraph" w:styleId="7">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10">
    <w:name w:val="Plain Text"/>
    <w:basedOn w:val="1"/>
    <w:qFormat/>
    <w:uiPriority w:val="0"/>
    <w:rPr>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 w:type="paragraph" w:customStyle="1" w:styleId="17">
    <w:name w:val="List Paragraph1"/>
    <w:basedOn w:val="1"/>
    <w:next w:val="1"/>
    <w:qFormat/>
    <w:uiPriority w:val="0"/>
    <w:pPr>
      <w:widowControl w:val="0"/>
      <w:autoSpaceDE/>
      <w:autoSpaceDN/>
      <w:spacing w:before="0" w:beforeLines="0" w:after="0" w:afterLines="0" w:line="240" w:lineRule="auto"/>
      <w:ind w:left="420" w:firstLine="3748"/>
      <w:jc w:val="both"/>
    </w:pPr>
  </w:style>
  <w:style w:type="paragraph" w:customStyle="1" w:styleId="18">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1246</Words>
  <Characters>1289</Characters>
  <Lines>0</Lines>
  <Paragraphs>0</Paragraphs>
  <TotalTime>24</TotalTime>
  <ScaleCrop>false</ScaleCrop>
  <LinksUpToDate>false</LinksUpToDate>
  <CharactersWithSpaces>1320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2025-08-13T07:22:00Z</cp:lastPrinted>
  <dcterms:modified xsi:type="dcterms:W3CDTF">2025-09-22T09:59:58Z</dcterms:modified>
  <dc:title>关于许禹供热长输管线项目勘察设计招标代理机构询比采购的邀请函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6D2FA6C3A5A346A9A26EA1475E845DD6_13</vt:lpwstr>
  </property>
  <property fmtid="{D5CDD505-2E9C-101B-9397-08002B2CF9AE}" pid="4" name="commondata">
    <vt:lpwstr>eyJoZGlkIjoiN2I0NDMxMDhhNzIxZjIxM2FiMjFkZWExNzY4MTY3OTUifQ==</vt:lpwstr>
  </property>
  <property fmtid="{D5CDD505-2E9C-101B-9397-08002B2CF9AE}" pid="5" name="KSOTemplateDocerSaveRecord">
    <vt:lpwstr>eyJoZGlkIjoiYzgzZTc0ZGM5ODYzYTA0Zjk2MDQ0M2JlNWFiODg0NDciLCJ1c2VySWQiOiI4NDIwNTI3OTIifQ==</vt:lpwstr>
  </property>
</Properties>
</file>