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39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0"/>
      </w:tblGrid>
      <w:tr w14:paraId="443F6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6" w:hRule="atLeast"/>
        </w:trPr>
        <w:tc>
          <w:tcPr>
            <w:tcW w:w="1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10"/>
              <w:tblpPr w:leftFromText="180" w:rightFromText="180" w:vertAnchor="text" w:horzAnchor="page" w:tblpX="-61" w:tblpY="174"/>
              <w:tblOverlap w:val="never"/>
              <w:tblW w:w="13774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8"/>
              <w:gridCol w:w="1440"/>
              <w:gridCol w:w="2616"/>
              <w:gridCol w:w="851"/>
              <w:gridCol w:w="840"/>
              <w:gridCol w:w="7329"/>
            </w:tblGrid>
            <w:tr w14:paraId="7F874A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377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12AA34B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48"/>
                      <w:szCs w:val="48"/>
                      <w:u w:val="none"/>
                    </w:rPr>
                  </w:pPr>
                  <w:bookmarkStart w:id="0" w:name="_GoBack"/>
                  <w:bookmarkEnd w:id="0"/>
                  <w:r>
                    <w:rPr>
                      <w:rFonts w:hint="eastAsia" w:ascii="Times New Roman" w:hAnsi="Times New Roman" w:eastAsia="仿宋_GB2312" w:cs="Times New Roman"/>
                      <w:sz w:val="32"/>
                      <w:szCs w:val="32"/>
                      <w:highlight w:val="none"/>
                      <w:lang w:val="en-US" w:eastAsia="zh-CN"/>
                    </w:rPr>
                    <w:t>附件1</w:t>
                  </w:r>
                </w:p>
              </w:tc>
            </w:tr>
            <w:tr w14:paraId="3DF95C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0" w:hRule="atLeast"/>
              </w:trPr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0D71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AF16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BA8C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规格参数</w:t>
                  </w:r>
                </w:p>
              </w:tc>
              <w:tc>
                <w:tcPr>
                  <w:tcW w:w="8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7359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46FD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7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BAE8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材质说明</w:t>
                  </w:r>
                </w:p>
              </w:tc>
            </w:tr>
            <w:tr w14:paraId="2D6872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0" w:hRule="atLeast"/>
              </w:trPr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421A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49AE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铝合金屏风工位</w:t>
                  </w:r>
                </w:p>
              </w:tc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FDD8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Style w:val="19"/>
                      <w:lang w:val="en-US" w:eastAsia="zh-CN" w:bidi="ar"/>
                    </w:rPr>
                    <w:t>1400*1400*1100，</w:t>
                  </w:r>
                  <w:r>
                    <w:rPr>
                      <w:rStyle w:val="20"/>
                      <w:lang w:val="en-US" w:eastAsia="zh-CN" w:bidi="ar"/>
                    </w:rPr>
                    <w:t>含三抽支撑柜</w:t>
                  </w:r>
                </w:p>
              </w:tc>
              <w:tc>
                <w:tcPr>
                  <w:tcW w:w="8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B48B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位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9E10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7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7E976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1.铝材：采用优质氧化铝合金型材，接头铝合金边框，铝合金厚度有1.1mm.屏风隔断规格：1400*1400*H1100，颜色：2.桌面颜色为多色可选色；3.基材：</w:t>
                  </w:r>
                  <w:r>
                    <w:rPr>
                      <w:rStyle w:val="21"/>
                      <w:lang w:val="en-US" w:eastAsia="zh-CN" w:bidi="ar"/>
                    </w:rPr>
                    <w:t>采用E0级颗粒板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，绿色环保、达到国家E0级环保标准。桌面厚度25mm，配五金配件</w:t>
                  </w:r>
                </w:p>
              </w:tc>
            </w:tr>
            <w:tr w14:paraId="3FD88B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5" w:hRule="atLeast"/>
              </w:trPr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B977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FF4D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办公椅</w:t>
                  </w:r>
                </w:p>
              </w:tc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D828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网布转椅</w:t>
                  </w:r>
                </w:p>
              </w:tc>
              <w:tc>
                <w:tcPr>
                  <w:tcW w:w="8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8051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0D84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7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D45CA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1.可升降/前后调节头枕；2.黑色全新料加纤背框，扪过测试特网；3.灰色PP高回弹腰靠，贴合脊椎护腰；4.黑色全新料加纤固定扶手；5.45高密度纯绵坐垫+塑胶底壳，扪华宇透气网布；6. 2.5mm厚度原位锁定蝴蝶底盘；7.过SGS认证气杆，100mm缩50mm；8.340mm黑色加纤高脚，静压1000KG;9.50mm尼龙+PU静音脚轮过BIFMA。</w:t>
                  </w:r>
                </w:p>
              </w:tc>
            </w:tr>
            <w:tr w14:paraId="0F7CF6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0" w:hRule="atLeast"/>
              </w:trPr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7244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B4AD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钢制文件柜</w:t>
                  </w:r>
                </w:p>
              </w:tc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9170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大器柜850*390*1850</w:t>
                  </w:r>
                </w:p>
              </w:tc>
              <w:tc>
                <w:tcPr>
                  <w:tcW w:w="8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5512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F3BD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7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10A1C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.优质一级冷轧钢板，钢板厚度0.6mm；2.所有焊接部位均采用点焊、二氧化碳保护焊接工艺，焊点牢固、平滑、美观，无气泡和漏焊、假焊现象；3.涂饰：柜面采用绿色环保型环氧聚酯粉末静电喷塑，高温塑化处理，对人体及周围环境不产生危害，无毒、无副作用，使用时无异味。产品喷涂前，各零部件均进行清洗、除油、除锈及酸洗、磷化等工序处理塑膜厚度0-71um，经高温流平、固化等工序，使喷塑涂层耐侵鉵、耐冲击性能高于国家标准，涂层附着力达到2级。表面具有防有机溶剂侵鉵、防潮、防锈、防尘、防静电等功能；4.锁具：选用优质品牌锁具，产品精美，安全系数高。</w:t>
                  </w:r>
                </w:p>
              </w:tc>
            </w:tr>
            <w:tr w14:paraId="6CF6C1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5B91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D613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饮水机</w:t>
                  </w:r>
                </w:p>
              </w:tc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712D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奥克斯</w:t>
                  </w:r>
                </w:p>
              </w:tc>
              <w:tc>
                <w:tcPr>
                  <w:tcW w:w="8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3B2C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4148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7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FCC1A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316不锈钢水壶，智能语音，多档调温，抑菌管路</w:t>
                  </w:r>
                </w:p>
              </w:tc>
            </w:tr>
            <w:tr w14:paraId="6337196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0" w:hRule="atLeast"/>
              </w:trPr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D373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3D7B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打印机柜</w:t>
                  </w:r>
                </w:p>
              </w:tc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EC5D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600*600*600</w:t>
                  </w:r>
                </w:p>
              </w:tc>
              <w:tc>
                <w:tcPr>
                  <w:tcW w:w="8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6E23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6E6C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21874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.优质一级冷轧钢板，钢板厚度0.6mm；2.所有焊接部位均采用点焊、二氧化碳保护焊接工艺，焊点牢固、平滑、美观，无气泡和漏焊、假焊现象；3.涂饰：柜面采用绿色环保型环氧聚酯粉末静电喷塑，高温塑化处理，对人体及周围环境不产生危害，无毒、无副作用，使用时无异味。产品喷涂前，各零部件均进行清洗、除油、除锈及酸洗、磷化等工序处理塑膜厚度0-71um，经高温流平、固化等工序，使喷塑涂层耐侵鉵、耐冲击性能高于国家标准，涂层附着力达到2级。表面具有防有机溶剂侵鉵、防潮、防锈、防尘、防静电等功能；4.锁具：选用优质品牌锁具，产品精美，安全系数高。</w:t>
                  </w:r>
                </w:p>
              </w:tc>
            </w:tr>
            <w:tr w14:paraId="6E5FA6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80" w:hRule="atLeast"/>
              </w:trPr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2C6E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EC53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钢制文件柜</w:t>
                  </w:r>
                </w:p>
              </w:tc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5830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资料柜850*390*1850，</w:t>
                  </w:r>
                </w:p>
              </w:tc>
              <w:tc>
                <w:tcPr>
                  <w:tcW w:w="8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9C73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ED7F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7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8D8BF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.优质一级冷轧钢板，钢板厚度0.6mm；2.所有焊接部位均采用点焊、二氧化碳保护焊接工艺，焊点牢固、平滑、美观，无气泡和漏焊、假焊现象；3.涂饰：柜面采用绿色环保型环氧聚酯粉末静电喷塑，高温塑化处理，对人体及周围环境不产生危害，无毒、无副作用，使用时无异味。产品喷涂前，各零部件均进行清洗、除油、除锈及酸洗、磷化等工序处理塑膜厚度0-71um，经高温流平、固化等工序，使喷塑涂层耐侵鉵、耐冲击性能高于国家标准，涂层附着力达到2级。表面具有防有机溶剂侵鉵、防潮、防锈、防尘、防静电等功能；4.锁具：选用优质品牌锁具，产品精美，安全系数高。</w:t>
                  </w:r>
                </w:p>
              </w:tc>
            </w:tr>
            <w:tr w14:paraId="6ABEC7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0" w:hRule="atLeast"/>
              </w:trPr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D07B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B7F6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货架</w:t>
                  </w:r>
                </w:p>
              </w:tc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170E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2000*600*200</w:t>
                  </w:r>
                </w:p>
              </w:tc>
              <w:tc>
                <w:tcPr>
                  <w:tcW w:w="8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90A5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组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5FA7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E477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重型货架，单层承重300KG</w:t>
                  </w:r>
                </w:p>
              </w:tc>
            </w:tr>
            <w:tr w14:paraId="6620AC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5" w:hRule="atLeast"/>
              </w:trPr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C39E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19E0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值班床</w:t>
                  </w:r>
                </w:p>
              </w:tc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AF22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1200*2000</w:t>
                  </w:r>
                </w:p>
              </w:tc>
              <w:tc>
                <w:tcPr>
                  <w:tcW w:w="8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A266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49BC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7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5AAE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实木橡木及板木结合，环保油漆，五金配件</w:t>
                  </w:r>
                </w:p>
              </w:tc>
            </w:tr>
            <w:tr w14:paraId="42E7E2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69C6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2036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棕垫</w:t>
                  </w:r>
                </w:p>
              </w:tc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5266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1200*2000</w:t>
                  </w:r>
                </w:p>
              </w:tc>
              <w:tc>
                <w:tcPr>
                  <w:tcW w:w="8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E461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A68E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7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D42E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环保棕垫</w:t>
                  </w:r>
                </w:p>
              </w:tc>
            </w:tr>
            <w:tr w14:paraId="1DEA6B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A9F5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2339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床头柜</w:t>
                  </w:r>
                </w:p>
              </w:tc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6E77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常规</w:t>
                  </w:r>
                </w:p>
              </w:tc>
              <w:tc>
                <w:tcPr>
                  <w:tcW w:w="8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EB67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86C5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7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E691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实木橡木及板木结合，环保油漆，五金配件</w:t>
                  </w:r>
                </w:p>
              </w:tc>
            </w:tr>
            <w:tr w14:paraId="23A1EA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5" w:hRule="atLeast"/>
              </w:trPr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8809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53ED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储物柜</w:t>
                  </w:r>
                </w:p>
              </w:tc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AD40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800*550*1800</w:t>
                  </w:r>
                </w:p>
              </w:tc>
              <w:tc>
                <w:tcPr>
                  <w:tcW w:w="8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5725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组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361B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7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FEB12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1、面材：采用品牌三聚氰胺饰面板，需符合GB/T15102-2006浸渍胶膜纸饰面人造板标准要求。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2、基材：采用E0级优质环保刨花板。达到国家环保标准，并经过防虫、防腐等化学处理。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3、五金配件：采用国内知名品牌五金连接件，拼装紧凑牢固。所有五金配件做防锈、防腐处理。</w:t>
                  </w:r>
                </w:p>
              </w:tc>
            </w:tr>
            <w:tr w14:paraId="0AD4C2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0" w:hRule="atLeast"/>
              </w:trPr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E4E4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5889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书桌</w:t>
                  </w:r>
                </w:p>
              </w:tc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9299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1200*600*750</w:t>
                  </w:r>
                </w:p>
              </w:tc>
              <w:tc>
                <w:tcPr>
                  <w:tcW w:w="8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4370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13C1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B4374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1、面材：采用品牌三聚氰胺饰面板，需符合GB/T15102-2006浸渍胶膜纸饰面人造板标准要求。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2、基材：采用E0级优质环保刨花板。达到国家环保标准，并经过防虫、防腐等化学处理。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3、五金配件：采用国内知名品牌五金连接件，拼装紧凑牢固。所有五金配件做防锈、防腐处理。</w:t>
                  </w:r>
                </w:p>
              </w:tc>
            </w:tr>
            <w:tr w14:paraId="088EAE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</w:trPr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F21F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FE76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书椅</w:t>
                  </w:r>
                </w:p>
              </w:tc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8AA7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四脚椅</w:t>
                  </w:r>
                </w:p>
              </w:tc>
              <w:tc>
                <w:tcPr>
                  <w:tcW w:w="8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B6F7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4943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2869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网布饰面，高弹海绵填充，加厚喷涂，椅架,PP扶手</w:t>
                  </w:r>
                </w:p>
              </w:tc>
            </w:tr>
            <w:tr w14:paraId="4125C6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0" w:hRule="atLeast"/>
              </w:trPr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21BC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D9FC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收纳柜</w:t>
                  </w:r>
                </w:p>
              </w:tc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9081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四门收纳柜900*420*1850</w:t>
                  </w:r>
                </w:p>
              </w:tc>
              <w:tc>
                <w:tcPr>
                  <w:tcW w:w="8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F21C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FA3F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7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E7DCF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.优质一级冷轧钢板，钢板厚度0.6mm；2.所有焊接部位均采用点焊、二氧化碳保护焊接工艺，焊点牢固、平滑、美观，无气泡和漏焊、假焊现象；3.涂饰：柜面采用绿色环保型环氧聚酯粉末静电喷塑，高温塑化处理，对人体及周围环境不产生危害，无毒、无副作用，使用时无异味。产品喷涂前，各零部件均进行清洗、除油、除锈及酸洗、磷化等工序处理塑膜厚度0-71um，经高温流平、固化等工序，使喷塑涂层耐侵鉵、耐冲击性能高于国家标准，涂层附着力达到2级。表面具有防有机溶剂侵鉵、防潮、防锈、防尘、防静电等功能；4.锁具：选用优质品牌锁具，产品精美，安全系数高。</w:t>
                  </w:r>
                </w:p>
              </w:tc>
            </w:tr>
            <w:tr w14:paraId="43B1B2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40" w:hRule="atLeast"/>
              </w:trPr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22E0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0B5B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办公桌</w:t>
                  </w:r>
                </w:p>
              </w:tc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2313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1200*600*750</w:t>
                  </w:r>
                </w:p>
              </w:tc>
              <w:tc>
                <w:tcPr>
                  <w:tcW w:w="8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3CE6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1740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BC51D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1、面材：采用品牌三聚氰胺饰面板，需符合GB/T15102-2006浸渍胶膜纸饰面人造板标准要求。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2、基材：采用E0级优质环保刨花板。达到国家环保标准，并经过防虫、防腐等化学处理。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3、五金配件：采用国内知名品牌五金连接件，拼装紧凑牢固。所有五金配件做防锈、防腐处理。</w:t>
                  </w:r>
                </w:p>
              </w:tc>
            </w:tr>
            <w:tr w14:paraId="6EB6AB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0" w:hRule="atLeast"/>
              </w:trPr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072D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F608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书椅</w:t>
                  </w:r>
                </w:p>
              </w:tc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0115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四脚椅</w:t>
                  </w:r>
                </w:p>
              </w:tc>
              <w:tc>
                <w:tcPr>
                  <w:tcW w:w="8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9D7E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B9F6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A0DA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网布饰面，高弹海绵填充，加厚喷涂，椅架,PP扶手</w:t>
                  </w:r>
                </w:p>
              </w:tc>
            </w:tr>
            <w:tr w14:paraId="0AA9E3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10" w:hRule="atLeast"/>
              </w:trPr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4D58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FE94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会议桌</w:t>
                  </w:r>
                </w:p>
              </w:tc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BEA7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6000*1800*760</w:t>
                  </w:r>
                </w:p>
              </w:tc>
              <w:tc>
                <w:tcPr>
                  <w:tcW w:w="8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59E7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2539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4ACBB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1、面材：采用品牌三聚氰胺饰面板，需符合GB/T15102-2006浸渍胶膜纸饰面人造板标准要求。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2、基材：采用E0级优质环保刨花板。达到国家环保标准，并经过防虫、防腐等化学处理。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3、五金配件：采用国内知名品牌五金连接件，拼装紧凑牢固。所有五金配件做防锈、防腐处理。</w:t>
                  </w:r>
                </w:p>
              </w:tc>
            </w:tr>
            <w:tr w14:paraId="08B9D9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0" w:hRule="atLeast"/>
              </w:trPr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3E54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47B1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会议椅</w:t>
                  </w:r>
                </w:p>
              </w:tc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EE49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转椅，宽大款</w:t>
                  </w:r>
                </w:p>
              </w:tc>
              <w:tc>
                <w:tcPr>
                  <w:tcW w:w="8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6325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8879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7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3B810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1.黑色全新料加纤背框，扪进口过测试特网；2.灰色PP高回弹腰靠，贴合脊椎护腰；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3.黑色全新料加纤固定扶手；4.45高密度纯绵坐垫+塑胶底壳，扪华宇透气网布；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5. 2.5mm厚度原位锁定蝴蝶底盘；6.过SGS认证气杆，100mm缩50mm；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7.320mm黑色加纤高脚，静压1000KG;8.50mm尼龙+PU静音脚轮过BIFMA。</w:t>
                  </w:r>
                </w:p>
              </w:tc>
            </w:tr>
            <w:tr w14:paraId="0764E3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0" w:hRule="atLeast"/>
              </w:trPr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2962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73CB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大储物柜</w:t>
                  </w:r>
                </w:p>
              </w:tc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2D9B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1200*400*800（含金灶K7）</w:t>
                  </w:r>
                </w:p>
              </w:tc>
              <w:tc>
                <w:tcPr>
                  <w:tcW w:w="8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A1CA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FE1B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9AEA6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1、面材：采用品牌三聚氰胺饰面板，需符合GB/T15102-2006浸渍胶膜纸饰面人造板标准要求。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2、基材：采用E0级优质环保刨花板。达到国家环保标准，并经过防虫、防腐等化学处理。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3、五金配件：采用国内知名品牌五金连接件，拼装紧凑牢固。所有五金配件做防锈、防腐处理。</w:t>
                  </w:r>
                </w:p>
              </w:tc>
            </w:tr>
            <w:tr w14:paraId="772626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0" w:hRule="atLeast"/>
              </w:trPr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B7F2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013B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办公桌</w:t>
                  </w:r>
                </w:p>
              </w:tc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53EA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2000*1700*760</w:t>
                  </w:r>
                </w:p>
              </w:tc>
              <w:tc>
                <w:tcPr>
                  <w:tcW w:w="8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C87B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F027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A468A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1、面材：采用品牌三聚氰胺饰面板，需符合GB/T15102-2006浸渍胶膜纸饰面人造板标准要求。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2、基材：采用E0级优质环保刨花板。达到国家环保标准，并经过防虫、防腐等化学处理。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3、五金配件：采用国内知名品牌五金连接件，拼装紧凑牢固。所有五金配件做防锈、防腐处理。</w:t>
                  </w:r>
                </w:p>
              </w:tc>
            </w:tr>
            <w:tr w14:paraId="5FA540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95" w:hRule="atLeast"/>
              </w:trPr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EBC4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2349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文件柜</w:t>
                  </w:r>
                </w:p>
              </w:tc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2EC4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2400*400*2000</w:t>
                  </w:r>
                </w:p>
              </w:tc>
              <w:tc>
                <w:tcPr>
                  <w:tcW w:w="8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70C3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ABE5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9F39C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1、面材：采用品牌三聚氰胺饰面板，需符合GB/T15102-2006浸渍胶膜纸饰面人造板标准要求。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2、基材：采用E0级优质环保刨花板。达到国家环保标准，并经过防虫、防腐等化学处理。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3、五金配件：采用国内知名品牌五金连接件，拼装紧凑牢固。所有五金配件做防锈、防腐处理。</w:t>
                  </w:r>
                </w:p>
              </w:tc>
            </w:tr>
            <w:tr w14:paraId="52B7D6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9" w:hRule="atLeast"/>
              </w:trPr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DF81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F226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班椅</w:t>
                  </w:r>
                </w:p>
              </w:tc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F796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常规</w:t>
                  </w:r>
                </w:p>
              </w:tc>
              <w:tc>
                <w:tcPr>
                  <w:tcW w:w="8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2B97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9814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4A5502">
                  <w:pPr>
                    <w:keepNext w:val="0"/>
                    <w:keepLines w:val="0"/>
                    <w:widowControl/>
                    <w:suppressLineNumbers w:val="0"/>
                    <w:spacing w:after="160" w:afterAutospacing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环保木板：环保木板，板厚为1.2-1.5cm，经过模具挤压成型，通过疲劳与冲击强度测试。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椅子表面：采用牛皮料，摸手感柔软舒适，纹理清晰，通过脱色、脱层、抗拉测试。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产品海棉：采用PU海棉，或称为定型海棉，密度为D53。密度高、弹性好、柔软适中。  气杆：经由SGS认证，通过承受20万次的循环加压反复测试。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电镀椅脚：采用圆钢管冲压而成，通过静压与冲击强度测试，达到BIFMA标准。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静音轮子：耐磨，牢固，无噪音，通过安全性和旋转寿命测试。</w:t>
                  </w:r>
                </w:p>
              </w:tc>
            </w:tr>
            <w:tr w14:paraId="321C8E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52D1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1A1F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班前椅</w:t>
                  </w:r>
                </w:p>
              </w:tc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85D0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常规西皮</w:t>
                  </w:r>
                </w:p>
              </w:tc>
              <w:tc>
                <w:tcPr>
                  <w:tcW w:w="8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FA3E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77CA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7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13A4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●面料：优质西皮●椅背：18mm双层背分体板+切割绵全扪皮款                                                               ●椅座：多层环保夹板12MM+切割绵    ●架子：32管圆管2.0厚电镀弓形架</w:t>
                  </w:r>
                </w:p>
              </w:tc>
            </w:tr>
            <w:tr w14:paraId="2ECB36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0BD0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70D9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沙发</w:t>
                  </w:r>
                </w:p>
              </w:tc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9C5E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3+1组合,三人沙发长2180，单人沙发长1180</w:t>
                  </w:r>
                </w:p>
              </w:tc>
              <w:tc>
                <w:tcPr>
                  <w:tcW w:w="8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1801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5849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67DDC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、面料：背靠面均采用优质西皮，厚度适宜，皮质柔软美观，透气性强，防潮，防污易清洁，面料舒适，光泽持久，芳香胺含量检测为≤30mg/kg；甲醛含量≤5mg/kg。2、海绵采用高密度阻燃海绵，软硬适中，回弹性≥36％，抗变型能力强，根据人体工学原理设计，坐感舒适。 3、木料：靠背、椅架等采用实木加工成型，材质坚硬，刚性强。榫、塞角、零部件等结合处不断裂、零件结合严密、牢固。</w:t>
                  </w:r>
                </w:p>
              </w:tc>
            </w:tr>
            <w:tr w14:paraId="4333AA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55" w:hRule="atLeast"/>
              </w:trPr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B55C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FF1C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茶几</w:t>
                  </w:r>
                </w:p>
              </w:tc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180E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1200*600*450</w:t>
                  </w:r>
                </w:p>
              </w:tc>
              <w:tc>
                <w:tcPr>
                  <w:tcW w:w="8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00D5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F74E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FD261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1、面材：采用品牌三聚氰胺饰面板，需符合GB/T15102-2006浸渍胶膜纸饰面人造板标准要求。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2、基材：采用E0级优质环保刨花板。达到国家环保标准，并经过防虫、防腐等化学处理。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3、五金配件：采用国内知名品牌五金连接件，拼装紧凑牢固。所有五金配件做防锈、防腐处理。</w:t>
                  </w:r>
                </w:p>
              </w:tc>
            </w:tr>
            <w:tr w14:paraId="757475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5" w:hRule="atLeast"/>
              </w:trPr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E80B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C4F1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小储物柜</w:t>
                  </w:r>
                </w:p>
              </w:tc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F69E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800*400*800(含金灶K7)</w:t>
                  </w:r>
                </w:p>
              </w:tc>
              <w:tc>
                <w:tcPr>
                  <w:tcW w:w="8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C12B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0F07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7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BEC68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1、面材：采用品牌三聚氰胺饰面板，需符合GB/T15102-2006浸渍胶膜纸饰面人造板标准要求。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2、基材：采用E0级优质环保刨花板。达到国家环保标准，并经过防虫、防腐等化学处理。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3、五金配件：采用国内知名品牌五金连接件，拼装紧凑牢固。所有五金配件做防锈、防腐处理。</w:t>
                  </w:r>
                </w:p>
              </w:tc>
            </w:tr>
            <w:tr w14:paraId="27180A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0" w:hRule="atLeast"/>
              </w:trPr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F9B9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A452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会议桌</w:t>
                  </w:r>
                </w:p>
              </w:tc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E26A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3600*1200*760</w:t>
                  </w:r>
                </w:p>
              </w:tc>
              <w:tc>
                <w:tcPr>
                  <w:tcW w:w="8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9F73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3D66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3C716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1、面材：采用品牌三聚氰胺饰面板，需符合GB/T15102-2006浸渍胶膜纸饰面人造板标准要求。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2、基材：采用E0级优质环保刨花板。达到国家环保标准，并经过防虫、防腐等化学处理。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3、五金配件：采用国内知名品牌五金连接件，拼装紧凑牢固。所有五金配件做防锈、防腐处理。</w:t>
                  </w:r>
                </w:p>
              </w:tc>
            </w:tr>
            <w:tr w14:paraId="3CC3B9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E241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D3EB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实木洽谈桌</w:t>
                  </w:r>
                </w:p>
              </w:tc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44FB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中式一桌五椅，一主四副，实木洽谈桌长2200mm</w:t>
                  </w:r>
                </w:p>
              </w:tc>
              <w:tc>
                <w:tcPr>
                  <w:tcW w:w="8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C58E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7176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6BF1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实木橡木贴乌金木木皮，高保真环保油漆，传统榫卯工艺，五金配件，带电器</w:t>
                  </w:r>
                </w:p>
              </w:tc>
            </w:tr>
            <w:tr w14:paraId="6442B1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5" w:hRule="atLeast"/>
              </w:trPr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2869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2CEA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沙发</w:t>
                  </w:r>
                </w:p>
              </w:tc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7BDD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3+1组合，实木中式三人沙发长2200，单人沙发长900</w:t>
                  </w:r>
                </w:p>
              </w:tc>
              <w:tc>
                <w:tcPr>
                  <w:tcW w:w="8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89A6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3F1B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8C5C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实木橡木，高保真环保油漆，传统榫卯工艺，优质布艺或西皮软包，高弹重质海绵，五金配件</w:t>
                  </w:r>
                </w:p>
              </w:tc>
            </w:tr>
            <w:tr w14:paraId="7FC5A3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5" w:hRule="atLeast"/>
              </w:trPr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86DD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921E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茶几</w:t>
                  </w:r>
                </w:p>
              </w:tc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3A59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中式实木，1300*700*500</w:t>
                  </w:r>
                </w:p>
              </w:tc>
              <w:tc>
                <w:tcPr>
                  <w:tcW w:w="8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A247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5E4C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A3B3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实木橡木贴乌金木木皮，高保真环保油漆，传统榫卯工艺，五金配件</w:t>
                  </w:r>
                </w:p>
              </w:tc>
            </w:tr>
            <w:tr w14:paraId="712B49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85" w:hRule="atLeast"/>
              </w:trPr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21F8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510D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单人沙发</w:t>
                  </w:r>
                </w:p>
              </w:tc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8B63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1010*830*850，实木圆角扶手面</w:t>
                  </w:r>
                </w:p>
              </w:tc>
              <w:tc>
                <w:tcPr>
                  <w:tcW w:w="8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D769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只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D3EB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7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35198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、面料：背靠面均采用优质绒布，厚度适宜，皮质柔软美观，透气性强，防潮，防污易清洁，面料舒适，光泽持久，芳香胺含量检测为≤30mg/kg；甲醛含量≤5mg/kg。2、海绵采用高密度阻燃海绵，软硬适中，回弹性≥36％，抗变型能力强，根据人体工学原理设计，坐感舒适。 3、木料：靠背、椅架等采用实木加工成型，材质坚硬，刚性强。榫、塞角、零部件等结合处不断裂、零件结合严密、牢固。</w:t>
                  </w:r>
                </w:p>
              </w:tc>
            </w:tr>
            <w:tr w14:paraId="6FA6AE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5" w:hRule="atLeast"/>
              </w:trPr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B947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DF95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茶几</w:t>
                  </w:r>
                </w:p>
              </w:tc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95D8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480*680*500</w:t>
                  </w:r>
                </w:p>
              </w:tc>
              <w:tc>
                <w:tcPr>
                  <w:tcW w:w="8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E934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81BC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7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3FF4B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1，板材均采用</w:t>
                  </w:r>
                  <w:r>
                    <w:rPr>
                      <w:rStyle w:val="22"/>
                      <w:lang w:val="en-US" w:eastAsia="zh-CN" w:bidi="ar"/>
                    </w:rPr>
                    <w:t>ENF级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优质中纤板以及实木，桌面厚度≥20mm，板材厚度≥10mm（以上尺寸偏差±2mm）。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.表面贴胡桃实木皮：0.6mm实木皮要求：厚度偏差：0.51mm～1.00mm时，≤±0.04mm，含水率：8％～16％。3.水性底漆漆要求：苯、甲苯、二甲苯、乙苯含量总和小于等于300mg/kg，挥发性有机化合物含量≤300g/L,甲醛含量≤100mg/kg。经三底两面喷漆工艺表面亮丽环保性能优异。5★水性面漆要求；苯、甲苯、二甲苯、乙苯含量总和小于等于300mg/kg，挥发性有机化合物含量≤300g/L,甲醛含量≤100mg/kg。经三底两面喷漆工艺表面亮丽环保性能优异 4，五金配件：采用国内优质五金配件，品质优越，持久耐用。</w:t>
                  </w:r>
                </w:p>
              </w:tc>
            </w:tr>
            <w:tr w14:paraId="287CBD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0" w:hRule="atLeast"/>
              </w:trPr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8F08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B3A9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大储物柜</w:t>
                  </w:r>
                </w:p>
              </w:tc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3C78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1200*400*800（含金灶K9）</w:t>
                  </w:r>
                </w:p>
              </w:tc>
              <w:tc>
                <w:tcPr>
                  <w:tcW w:w="8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6744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2235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7678D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1，板材均采用</w:t>
                  </w:r>
                  <w:r>
                    <w:rPr>
                      <w:rStyle w:val="22"/>
                      <w:lang w:val="en-US" w:eastAsia="zh-CN" w:bidi="ar"/>
                    </w:rPr>
                    <w:t>ENF级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优质中纤板以及实木，桌面厚度≥20mm，板材厚度≥10mm（以上尺寸偏差±2mm）。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.表面贴胡桃实木皮：0.6mm实木皮要求：厚度偏差：0.51mm～1.00mm时，≤±0.04mm，含水率：8％～16％。3.水性底漆漆要求：苯、甲苯、二甲苯、乙苯含量总和小于等于300mg/kg，挥发性有机化合物含量≤300g/L,甲醛含量≤100mg/kg。经三底两面喷漆工艺表面亮丽环保性能优异。5★水性面漆要求；苯、甲苯、二甲苯、乙苯含量总和小于等于300mg/kg，挥发性有机化合物含量≤300g/L,甲醛含量≤100mg/kg。经三底两面喷漆工艺表面亮丽环保性能优异 4，五金配件：采用国内优质五金配件，品质优越，持久耐用。</w:t>
                  </w:r>
                </w:p>
              </w:tc>
            </w:tr>
            <w:tr w14:paraId="2DA33E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5" w:hRule="atLeast"/>
              </w:trPr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0D8A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65AA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高低床</w:t>
                  </w:r>
                </w:p>
              </w:tc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0EA9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实木，1000*2000</w:t>
                  </w:r>
                </w:p>
              </w:tc>
              <w:tc>
                <w:tcPr>
                  <w:tcW w:w="8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7CCB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组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CEFD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C0353A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实木橡木及板木结合，环保油漆，五金配件</w:t>
                  </w:r>
                </w:p>
              </w:tc>
            </w:tr>
            <w:tr w14:paraId="6CD465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0" w:hRule="atLeast"/>
              </w:trPr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6515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9C0D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钢制储物柜</w:t>
                  </w:r>
                </w:p>
              </w:tc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FD4B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通双节柜，850*390*1850</w:t>
                  </w:r>
                </w:p>
              </w:tc>
              <w:tc>
                <w:tcPr>
                  <w:tcW w:w="851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E788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19D1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329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00D9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.优质一级冷轧钢板，钢板厚度0.6mm；2.所有焊接部位均采用点焊、二氧化碳保护焊接工艺，焊点牢固、平滑、美观，无气泡和漏焊、假焊现象；3.涂饰：柜面采用绿色环保型环氧聚酯粉末静电喷塑，高温塑化处理，对人体及周围环境不产生危害，无毒、无副作用，使用时无异味。产品喷涂前，各零部件均进行清洗、除油、除锈及酸洗、磷化等工序处理塑膜厚度0-71um，经高温流平、固化等工序，使喷塑涂层耐侵鉵、耐冲击性能高于国家标准，涂层附着力达到2级。表面具有防有机溶剂侵鉵、防潮、防锈、防尘、防静电等功能；4.锁具：选用优质品牌锁具，产品精美，安全系数高。</w:t>
                  </w:r>
                </w:p>
              </w:tc>
            </w:tr>
            <w:tr w14:paraId="223EEA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0" w:hRule="atLeast"/>
              </w:trPr>
              <w:tc>
                <w:tcPr>
                  <w:tcW w:w="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2809D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4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159DD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钢制排椅</w:t>
                  </w:r>
                </w:p>
              </w:tc>
              <w:tc>
                <w:tcPr>
                  <w:tcW w:w="26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1305B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三人位排椅，1750mm×680mm×800mm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28352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组</w:t>
                  </w:r>
                </w:p>
              </w:tc>
              <w:tc>
                <w:tcPr>
                  <w:tcW w:w="8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50F97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3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0CF55D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三角管 扶手：1.1mm厚度 蛋管折弯焊接,除锈处理后静电喷涂而成.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脚: 1.1mm厚度采用深拉钢板冲压,焊接,除锈处理后静电喷涂而成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座板：采用1.1mm厚冷扎钢冲孔,焊接,除锈处理静电喷涂而成。座宽50CM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横梁：采用100mm*100mm*1.2mm厚三角管,除锈处理后喷涂而成.</w:t>
                  </w:r>
                </w:p>
              </w:tc>
            </w:tr>
          </w:tbl>
          <w:p w14:paraId="11D7C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  <w:lang w:val="en-US" w:eastAsia="zh-CN"/>
              </w:rPr>
            </w:pPr>
          </w:p>
        </w:tc>
      </w:tr>
    </w:tbl>
    <w:p w14:paraId="1F7E8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1519" w:right="1440" w:bottom="1519" w:left="1440" w:header="851" w:footer="992" w:gutter="0"/>
          <w:cols w:space="425" w:num="1"/>
          <w:docGrid w:type="lines" w:linePitch="312" w:charSpace="0"/>
        </w:sectPr>
      </w:pPr>
    </w:p>
    <w:p w14:paraId="1AC6F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：</w:t>
      </w:r>
    </w:p>
    <w:p w14:paraId="1DC3E3D0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61B76F94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0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42"/>
        <w:gridCol w:w="5741"/>
      </w:tblGrid>
      <w:tr w14:paraId="2A2055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FECB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1B2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  <w:p w14:paraId="51BE7D30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许襄长输综合供热管网办公生活家具采购项目</w:t>
            </w:r>
          </w:p>
          <w:p w14:paraId="0C8F8F97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  <w:p w14:paraId="77379053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  <w:p w14:paraId="19D019A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</w:tr>
      <w:tr w14:paraId="1F1E7B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29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03BB4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3512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5735AB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739A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D9D2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15C9CC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B5EC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8362E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6193E26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695367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9" w:hRule="exact"/>
        </w:trPr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AEA48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1BB0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24E8E5A8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8BD104C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FA90EA7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213C9122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9CB688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1E6EE3B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741A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D7A2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C40D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F271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：</w:t>
      </w:r>
    </w:p>
    <w:p w14:paraId="0878F755">
      <w:pPr>
        <w:pStyle w:val="5"/>
        <w:pageBreakBefore w:val="0"/>
        <w:kinsoku/>
        <w:wordWrap/>
        <w:overflowPunct/>
        <w:topLinePunct w:val="0"/>
        <w:bidi w:val="0"/>
        <w:spacing w:line="520" w:lineRule="exact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评标标准</w:t>
      </w:r>
    </w:p>
    <w:p w14:paraId="33DE9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40789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177E4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0E855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21ED0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413B7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0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 w14:paraId="4248D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 w14:paraId="027A9341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34F6FF30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786" w:type="dxa"/>
            <w:noWrap w:val="0"/>
            <w:vAlign w:val="center"/>
          </w:tcPr>
          <w:p w14:paraId="2C3C5332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价格分值：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1611523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商务部分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20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3271E252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zh-CN" w:eastAsia="zh-CN" w:bidi="ar-SA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部分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50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</w:tc>
      </w:tr>
      <w:tr w14:paraId="2B359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4D813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99E6E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评分因素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9DBF1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0A429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5EC4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  <w:p w14:paraId="7AA3C1E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709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报价得分</w:t>
            </w:r>
          </w:p>
          <w:p w14:paraId="587042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F92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超过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万元为无效报价</w:t>
            </w:r>
          </w:p>
          <w:p w14:paraId="650A0E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效投标报价中，最低的投标报价为评标基准价。</w:t>
            </w:r>
          </w:p>
        </w:tc>
      </w:tr>
      <w:tr w14:paraId="53DCD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C331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商务部分</w:t>
            </w:r>
          </w:p>
          <w:p w14:paraId="3EC54DC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A6E4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商务部分</w:t>
            </w:r>
          </w:p>
          <w:p w14:paraId="27D6AE0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AF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投标人提供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zh-CN" w:eastAsia="zh-CN" w:bidi="ar-SA"/>
              </w:rPr>
              <w:t>2023年1月1日以来家具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销售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zh-CN" w:eastAsia="zh-CN" w:bidi="ar-SA"/>
              </w:rPr>
              <w:t>业绩，每提供1项有效业绩得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zh-CN" w:eastAsia="zh-CN" w:bidi="ar-SA"/>
              </w:rPr>
              <w:t>分，最高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zh-CN" w:eastAsia="zh-CN" w:bidi="ar-SA"/>
              </w:rPr>
              <w:t>分（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需提供购销合同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及发票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，以合同签订日期为准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zh-CN" w:eastAsia="zh-CN" w:bidi="ar-SA"/>
              </w:rPr>
              <w:t>）。</w:t>
            </w:r>
          </w:p>
        </w:tc>
      </w:tr>
      <w:tr w14:paraId="13F8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08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5618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zh-CN" w:eastAsia="zh-CN" w:bidi="ar-SA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部分</w:t>
            </w:r>
          </w:p>
          <w:p w14:paraId="4E1BCC3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A6B3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zh-CN" w:eastAsia="zh-CN" w:bidi="ar-SA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部分</w:t>
            </w:r>
          </w:p>
          <w:p w14:paraId="6591406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32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1.服务承诺（10分）：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交货时间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zh-CN" w:eastAsia="zh-CN" w:bidi="ar-SA"/>
              </w:rPr>
              <w:t>、解决质量或供货问题的响应时间、解决问题时间等内容进行打分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（完整详细得6-10分 ，描述简单的得1-5分，缺项不得分）。</w:t>
            </w:r>
          </w:p>
          <w:p w14:paraId="68A07D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zh-CN" w:eastAsia="zh-CN" w:bidi="ar-SA"/>
              </w:rPr>
              <w:t>2. 家具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需求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zh-CN" w:eastAsia="zh-CN" w:bidi="ar-SA"/>
              </w:rPr>
              <w:t>及效果方案（10分）：各投标人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提供家具产品图片及需求设计图，根据家具图片及需求设计图合理性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zh-CN" w:eastAsia="zh-CN" w:bidi="ar-SA"/>
              </w:rPr>
              <w:t>进行打分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（完整详细得6-10分 ，描述简单的得1-5分，缺项不得分）。</w:t>
            </w:r>
          </w:p>
          <w:p w14:paraId="22BD5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zh-CN" w:eastAsia="zh-CN" w:bidi="ar-SA"/>
              </w:rPr>
              <w:t xml:space="preserve">3.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家具产品健康环保及可靠性资料（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zh-CN" w:eastAsia="zh-CN" w:bidi="ar-SA"/>
              </w:rPr>
              <w:t>10分）：根据各投标人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提供的家具产品及厂家相关的资质证明和检验报告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zh-CN" w:eastAsia="zh-CN" w:bidi="ar-SA"/>
              </w:rPr>
              <w:t>进行打分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（完整详细得6-10分 ，描述简单的得1-5分，缺项不得分）。</w:t>
            </w:r>
          </w:p>
          <w:p w14:paraId="14603E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zh-CN" w:eastAsia="zh-CN" w:bidi="ar-SA"/>
              </w:rPr>
              <w:t>4. 应急处置方案（10分）：根据各投标人应急处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zh-CN" w:eastAsia="zh-CN" w:bidi="ar-SA"/>
              </w:rPr>
              <w:t>方案进行打分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 xml:space="preserve">（完整详细得6-10分 ，描述简单的得1-5分，缺项不得分）。      </w:t>
            </w:r>
          </w:p>
          <w:p w14:paraId="1223B4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zh-CN" w:eastAsia="zh-CN" w:bidi="ar-SA"/>
              </w:rPr>
              <w:t>5. 售后服务保障方案（10分）：根据各投标人售后服务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计划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zh-CN" w:eastAsia="zh-CN" w:bidi="ar-SA"/>
              </w:rPr>
              <w:t>进行打分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（完整详细得6-10分 ，描述简单的得1-5分，缺项不得分）。</w:t>
            </w:r>
          </w:p>
        </w:tc>
      </w:tr>
    </w:tbl>
    <w:p w14:paraId="0043E22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13FCF9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比选采用综合评分法，按照得分由高到低确定候选人。</w:t>
      </w:r>
    </w:p>
    <w:p w14:paraId="298941BA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BCC324B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1057B000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1B9D1FCC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9FD548A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686EFAF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02BDCF11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DA026A9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0DE594E0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74A94D70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7F9BC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8FA2B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166DA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60DFC671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2CE868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16D0B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7E66E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142FC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6F9D6337">
      <w:pPr>
        <w:pStyle w:val="2"/>
        <w:numPr>
          <w:ilvl w:val="0"/>
          <w:numId w:val="0"/>
        </w:numPr>
        <w:ind w:leftChars="0" w:firstLine="4800" w:firstLineChars="1500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474491C4">
      <w:pPr>
        <w:pStyle w:val="2"/>
        <w:numPr>
          <w:ilvl w:val="0"/>
          <w:numId w:val="0"/>
        </w:numPr>
        <w:ind w:firstLine="4800" w:firstLineChars="1500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单位名称(盖章）</w:t>
      </w:r>
    </w:p>
    <w:p w14:paraId="0B33B69A">
      <w:pPr>
        <w:ind w:firstLine="4800" w:firstLineChars="15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日期：</w:t>
      </w:r>
    </w:p>
    <w:sectPr>
      <w:type w:val="continuous"/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C5B83A"/>
    <w:multiLevelType w:val="singleLevel"/>
    <w:tmpl w:val="14C5B83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E9EA506"/>
    <w:multiLevelType w:val="multilevel"/>
    <w:tmpl w:val="4E9EA506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YjMwMDQxYWM4MDA2ZGY0ZmMzOTllNzNlMTBiZDAifQ=="/>
  </w:docVars>
  <w:rsids>
    <w:rsidRoot w:val="1289406A"/>
    <w:rsid w:val="010158D6"/>
    <w:rsid w:val="017D31AE"/>
    <w:rsid w:val="018C1643"/>
    <w:rsid w:val="0410287C"/>
    <w:rsid w:val="048D195A"/>
    <w:rsid w:val="06255641"/>
    <w:rsid w:val="073C31C4"/>
    <w:rsid w:val="0759622A"/>
    <w:rsid w:val="08150446"/>
    <w:rsid w:val="092B3F6C"/>
    <w:rsid w:val="0A5F10E1"/>
    <w:rsid w:val="0AA95014"/>
    <w:rsid w:val="0B072094"/>
    <w:rsid w:val="0BBA05E1"/>
    <w:rsid w:val="0C8F1FE8"/>
    <w:rsid w:val="0CCE0D62"/>
    <w:rsid w:val="0DAD0977"/>
    <w:rsid w:val="0DD34156"/>
    <w:rsid w:val="0ED168E7"/>
    <w:rsid w:val="0F472E51"/>
    <w:rsid w:val="101A2510"/>
    <w:rsid w:val="112E7CD6"/>
    <w:rsid w:val="124F64A1"/>
    <w:rsid w:val="12617F82"/>
    <w:rsid w:val="12850115"/>
    <w:rsid w:val="1289406A"/>
    <w:rsid w:val="1292638E"/>
    <w:rsid w:val="13E175CD"/>
    <w:rsid w:val="14667AD2"/>
    <w:rsid w:val="15325C06"/>
    <w:rsid w:val="15330584"/>
    <w:rsid w:val="156B79B3"/>
    <w:rsid w:val="15A44D56"/>
    <w:rsid w:val="164953A2"/>
    <w:rsid w:val="188D7D23"/>
    <w:rsid w:val="1B574618"/>
    <w:rsid w:val="1BDD6EE9"/>
    <w:rsid w:val="1CCD3C1B"/>
    <w:rsid w:val="1F301408"/>
    <w:rsid w:val="21577120"/>
    <w:rsid w:val="2248289F"/>
    <w:rsid w:val="22682FB8"/>
    <w:rsid w:val="2389558B"/>
    <w:rsid w:val="23F5160A"/>
    <w:rsid w:val="2423778D"/>
    <w:rsid w:val="24CD14A7"/>
    <w:rsid w:val="253B5191"/>
    <w:rsid w:val="260E05A1"/>
    <w:rsid w:val="27BC5F2F"/>
    <w:rsid w:val="283F090E"/>
    <w:rsid w:val="28A1559D"/>
    <w:rsid w:val="293444FF"/>
    <w:rsid w:val="29C70BBB"/>
    <w:rsid w:val="29D3130E"/>
    <w:rsid w:val="2A2651C8"/>
    <w:rsid w:val="2B1E0CAF"/>
    <w:rsid w:val="2C01620C"/>
    <w:rsid w:val="2CDE24A4"/>
    <w:rsid w:val="2CF972DD"/>
    <w:rsid w:val="2CFD2151"/>
    <w:rsid w:val="2E075A2A"/>
    <w:rsid w:val="2E980D78"/>
    <w:rsid w:val="2F436A62"/>
    <w:rsid w:val="2FDE6B72"/>
    <w:rsid w:val="33296D03"/>
    <w:rsid w:val="33610C66"/>
    <w:rsid w:val="33EB36F8"/>
    <w:rsid w:val="34B322BA"/>
    <w:rsid w:val="35AE2C2F"/>
    <w:rsid w:val="38286CC9"/>
    <w:rsid w:val="382D0783"/>
    <w:rsid w:val="3843464F"/>
    <w:rsid w:val="38974E72"/>
    <w:rsid w:val="390C65EA"/>
    <w:rsid w:val="39495F88"/>
    <w:rsid w:val="3AE47B4E"/>
    <w:rsid w:val="3D046FA8"/>
    <w:rsid w:val="3DEC7A61"/>
    <w:rsid w:val="3E5E3444"/>
    <w:rsid w:val="3E774506"/>
    <w:rsid w:val="3F2C3C34"/>
    <w:rsid w:val="405D040F"/>
    <w:rsid w:val="411E335F"/>
    <w:rsid w:val="42C910A8"/>
    <w:rsid w:val="42F56341"/>
    <w:rsid w:val="456C320E"/>
    <w:rsid w:val="462F56C6"/>
    <w:rsid w:val="47262F6D"/>
    <w:rsid w:val="49F033BE"/>
    <w:rsid w:val="4ABA40F8"/>
    <w:rsid w:val="4D0C5871"/>
    <w:rsid w:val="4D3342FA"/>
    <w:rsid w:val="508C2093"/>
    <w:rsid w:val="51510BE7"/>
    <w:rsid w:val="52441102"/>
    <w:rsid w:val="532C79A0"/>
    <w:rsid w:val="541A1764"/>
    <w:rsid w:val="55DD1E70"/>
    <w:rsid w:val="576A0C54"/>
    <w:rsid w:val="57E20EDE"/>
    <w:rsid w:val="59F9006D"/>
    <w:rsid w:val="5A557999"/>
    <w:rsid w:val="5A601E9A"/>
    <w:rsid w:val="5AE44879"/>
    <w:rsid w:val="5AF57F2C"/>
    <w:rsid w:val="5DFE3EA4"/>
    <w:rsid w:val="5ED658B5"/>
    <w:rsid w:val="5F8328B3"/>
    <w:rsid w:val="612639AA"/>
    <w:rsid w:val="634C56B2"/>
    <w:rsid w:val="639B1317"/>
    <w:rsid w:val="647A1DAB"/>
    <w:rsid w:val="64B82739"/>
    <w:rsid w:val="64EF5D38"/>
    <w:rsid w:val="65C07C91"/>
    <w:rsid w:val="679175CD"/>
    <w:rsid w:val="68FE11FC"/>
    <w:rsid w:val="69A7626C"/>
    <w:rsid w:val="6A7A2B04"/>
    <w:rsid w:val="6B6D4417"/>
    <w:rsid w:val="6B8A4FC9"/>
    <w:rsid w:val="6C2E449C"/>
    <w:rsid w:val="6CC12C6C"/>
    <w:rsid w:val="6CC23F50"/>
    <w:rsid w:val="6D6D6950"/>
    <w:rsid w:val="6D765805"/>
    <w:rsid w:val="6E8126B3"/>
    <w:rsid w:val="6F7A06C8"/>
    <w:rsid w:val="6FEC0000"/>
    <w:rsid w:val="700C1760"/>
    <w:rsid w:val="70EB02B8"/>
    <w:rsid w:val="7101290D"/>
    <w:rsid w:val="72323CC5"/>
    <w:rsid w:val="72E476B5"/>
    <w:rsid w:val="73612AB3"/>
    <w:rsid w:val="73852193"/>
    <w:rsid w:val="74393A30"/>
    <w:rsid w:val="74A842FB"/>
    <w:rsid w:val="74D912DD"/>
    <w:rsid w:val="74ED6332"/>
    <w:rsid w:val="751452AC"/>
    <w:rsid w:val="7528609B"/>
    <w:rsid w:val="75A50F0A"/>
    <w:rsid w:val="76127456"/>
    <w:rsid w:val="776B3F01"/>
    <w:rsid w:val="776E028D"/>
    <w:rsid w:val="77E81338"/>
    <w:rsid w:val="77F2017E"/>
    <w:rsid w:val="788A56D2"/>
    <w:rsid w:val="7A106FE1"/>
    <w:rsid w:val="7A4647B1"/>
    <w:rsid w:val="7BBD4F47"/>
    <w:rsid w:val="7C256F25"/>
    <w:rsid w:val="7C26562D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5">
    <w:name w:val="Plain Text"/>
    <w:basedOn w:val="1"/>
    <w:autoRedefine/>
    <w:qFormat/>
    <w:uiPriority w:val="0"/>
    <w:rPr>
      <w:sz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oc 1"/>
    <w:basedOn w:val="1"/>
    <w:next w:val="1"/>
    <w:qFormat/>
    <w:uiPriority w:val="39"/>
    <w:pPr>
      <w:spacing w:before="120" w:after="120"/>
      <w:jc w:val="left"/>
    </w:pPr>
    <w:rPr>
      <w:rFonts w:ascii="Times New Roman" w:hAnsi="Times New Roman" w:eastAsia="宋体" w:cs="Times New Roman"/>
      <w:b/>
      <w:bCs/>
      <w:caps/>
      <w:color w:val="0000FF"/>
      <w:sz w:val="20"/>
      <w:szCs w:val="20"/>
    </w:rPr>
  </w:style>
  <w:style w:type="paragraph" w:styleId="8">
    <w:name w:val="Normal (Web)"/>
    <w:basedOn w:val="1"/>
    <w:next w:val="7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next w:val="1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4">
    <w:name w:val="Body Text First Indent"/>
    <w:basedOn w:val="4"/>
    <w:autoRedefine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  <w:style w:type="character" w:customStyle="1" w:styleId="15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6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17">
    <w:name w:val="font31"/>
    <w:basedOn w:val="1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8">
    <w:name w:val="font71"/>
    <w:basedOn w:val="11"/>
    <w:qFormat/>
    <w:uiPriority w:val="0"/>
    <w:rPr>
      <w:rFonts w:hint="eastAsia" w:ascii="宋体" w:hAnsi="宋体" w:eastAsia="宋体" w:cs="宋体"/>
      <w:b/>
      <w:bCs/>
      <w:color w:val="FF0000"/>
      <w:sz w:val="16"/>
      <w:szCs w:val="16"/>
      <w:u w:val="none"/>
    </w:rPr>
  </w:style>
  <w:style w:type="character" w:customStyle="1" w:styleId="19">
    <w:name w:val="font4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10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21">
    <w:name w:val="font112"/>
    <w:basedOn w:val="11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22">
    <w:name w:val="font121"/>
    <w:basedOn w:val="1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5735</Words>
  <Characters>6688</Characters>
  <Lines>0</Lines>
  <Paragraphs>0</Paragraphs>
  <TotalTime>14</TotalTime>
  <ScaleCrop>false</ScaleCrop>
  <LinksUpToDate>false</LinksUpToDate>
  <CharactersWithSpaces>6810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WPS_1658882146</cp:lastModifiedBy>
  <cp:lastPrinted>2026-07-07T07:45:00Z</cp:lastPrinted>
  <dcterms:modified xsi:type="dcterms:W3CDTF">2026-07-13T03:13:16Z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41276140673043208AE2E79B72872B12_13</vt:lpwstr>
  </property>
  <property fmtid="{D5CDD505-2E9C-101B-9397-08002B2CF9AE}" pid="4" name="KSOTemplateDocerSaveRecord">
    <vt:lpwstr>eyJoZGlkIjoiZWE0YjMwMDQxYWM4MDA2ZGY0ZmMzOTllNzNlMTBiZDAiLCJ1c2VySWQiOiI1MzUyMDM3NzgifQ==</vt:lpwstr>
  </property>
</Properties>
</file>