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6A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24CC0702">
      <w:pPr>
        <w:spacing w:line="56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许昌胖东来生产基地源网荷储综合能源基础设施建设项目可行性研究报告编制服务</w:t>
      </w:r>
    </w:p>
    <w:p w14:paraId="001BBA43">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比选</w:t>
      </w:r>
      <w:r>
        <w:rPr>
          <w:rFonts w:hint="eastAsia" w:ascii="方正小标宋简体" w:hAnsi="方正小标宋简体" w:eastAsia="方正小标宋简体" w:cs="方正小标宋简体"/>
          <w:b w:val="0"/>
          <w:bCs/>
          <w:color w:val="auto"/>
          <w:sz w:val="44"/>
          <w:szCs w:val="44"/>
        </w:rPr>
        <w:t>邀请函</w:t>
      </w:r>
    </w:p>
    <w:p w14:paraId="4B3ECCA9">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1004FE1F">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0F88A387">
      <w:pPr>
        <w:jc w:val="center"/>
        <w:rPr>
          <w:rFonts w:hint="eastAsia" w:ascii="仿宋" w:hAnsi="仿宋" w:eastAsia="仿宋" w:cs="仿宋"/>
          <w:color w:val="auto"/>
          <w:sz w:val="28"/>
          <w:szCs w:val="28"/>
          <w:highlight w:val="none"/>
          <w:shd w:val="clear" w:color="auto" w:fill="auto"/>
        </w:rPr>
      </w:pPr>
    </w:p>
    <w:p w14:paraId="35F2F6F3">
      <w:pPr>
        <w:rPr>
          <w:rFonts w:hint="eastAsia" w:ascii="仿宋" w:hAnsi="仿宋" w:eastAsia="仿宋" w:cs="仿宋"/>
          <w:color w:val="auto"/>
          <w:sz w:val="28"/>
          <w:szCs w:val="28"/>
          <w:highlight w:val="none"/>
          <w:shd w:val="clear" w:color="auto" w:fill="auto"/>
        </w:rPr>
      </w:pPr>
    </w:p>
    <w:p w14:paraId="058D49AB">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E5597F1">
      <w:pPr>
        <w:rPr>
          <w:rFonts w:hint="eastAsia" w:ascii="仿宋" w:hAnsi="仿宋" w:eastAsia="仿宋" w:cs="仿宋"/>
          <w:color w:val="auto"/>
          <w:sz w:val="28"/>
          <w:szCs w:val="28"/>
          <w:highlight w:val="none"/>
          <w:shd w:val="clear" w:color="auto" w:fill="auto"/>
        </w:rPr>
      </w:pPr>
    </w:p>
    <w:p w14:paraId="1A721898">
      <w:pPr>
        <w:jc w:val="center"/>
        <w:rPr>
          <w:rFonts w:hint="eastAsia" w:ascii="仿宋" w:hAnsi="仿宋" w:eastAsia="仿宋" w:cs="仿宋"/>
          <w:color w:val="auto"/>
          <w:sz w:val="28"/>
          <w:szCs w:val="28"/>
          <w:highlight w:val="none"/>
          <w:shd w:val="clear" w:color="auto" w:fill="auto"/>
        </w:rPr>
      </w:pPr>
    </w:p>
    <w:p w14:paraId="21086B73">
      <w:pPr>
        <w:pStyle w:val="19"/>
        <w:jc w:val="both"/>
        <w:rPr>
          <w:rFonts w:hint="eastAsia" w:ascii="仿宋" w:hAnsi="仿宋" w:eastAsia="仿宋" w:cs="仿宋"/>
          <w:color w:val="auto"/>
          <w:sz w:val="28"/>
          <w:szCs w:val="28"/>
          <w:highlight w:val="none"/>
          <w:shd w:val="clear" w:color="auto" w:fill="auto"/>
        </w:rPr>
      </w:pPr>
    </w:p>
    <w:p w14:paraId="4B405949">
      <w:pPr>
        <w:jc w:val="center"/>
        <w:rPr>
          <w:rFonts w:hint="eastAsia" w:ascii="仿宋" w:hAnsi="仿宋" w:eastAsia="仿宋" w:cs="仿宋"/>
          <w:color w:val="auto"/>
          <w:sz w:val="28"/>
          <w:szCs w:val="28"/>
          <w:highlight w:val="none"/>
          <w:shd w:val="clear" w:color="auto" w:fill="auto"/>
        </w:rPr>
      </w:pPr>
    </w:p>
    <w:p w14:paraId="5146E18B">
      <w:pPr>
        <w:jc w:val="center"/>
        <w:rPr>
          <w:rFonts w:hint="eastAsia" w:ascii="仿宋" w:hAnsi="仿宋" w:eastAsia="仿宋" w:cs="仿宋"/>
          <w:color w:val="auto"/>
          <w:sz w:val="28"/>
          <w:szCs w:val="28"/>
          <w:highlight w:val="none"/>
          <w:shd w:val="clear" w:color="auto" w:fill="auto"/>
        </w:rPr>
      </w:pPr>
    </w:p>
    <w:p w14:paraId="0D632A0E">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 xml:space="preserve">许昌建投交通发展有限公司           </w:t>
      </w:r>
    </w:p>
    <w:p w14:paraId="273EBE74">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1F785F40">
      <w:pPr>
        <w:spacing w:line="360" w:lineRule="auto"/>
        <w:jc w:val="center"/>
        <w:rPr>
          <w:rFonts w:hint="eastAsia" w:ascii="仿宋" w:hAnsi="仿宋" w:eastAsia="仿宋" w:cs="仿宋"/>
          <w:b/>
          <w:color w:val="auto"/>
          <w:sz w:val="36"/>
          <w:szCs w:val="36"/>
          <w:highlight w:val="none"/>
          <w:shd w:val="clear" w:color="auto" w:fill="auto"/>
        </w:rPr>
      </w:pPr>
    </w:p>
    <w:p w14:paraId="4914BF2B">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69B63A6B">
      <w:pPr>
        <w:pStyle w:val="14"/>
        <w:ind w:firstLine="0" w:firstLineChars="0"/>
        <w:rPr>
          <w:rFonts w:hint="eastAsia" w:ascii="仿宋" w:hAnsi="仿宋" w:eastAsia="仿宋" w:cs="仿宋"/>
          <w:color w:val="auto"/>
          <w:sz w:val="24"/>
          <w:szCs w:val="24"/>
          <w:highlight w:val="none"/>
          <w:shd w:val="clear" w:color="auto" w:fill="auto"/>
        </w:rPr>
      </w:pPr>
    </w:p>
    <w:p w14:paraId="35EFC7BA">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D7D3A7F">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1E39FD27">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37719C5D">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054A14E6">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207E331">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1DD4A13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15CBD55C">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0F01DE1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728AC5FE">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根据工作需要，许昌建投交通发展有限公司（以下简称“比选人”）拟通过比选方式选取咨询服务单位开展</w:t>
      </w:r>
      <w:r>
        <w:rPr>
          <w:rFonts w:hint="eastAsia" w:ascii="仿宋_GB2312" w:hAnsi="仿宋_GB2312" w:eastAsia="仿宋_GB2312" w:cs="仿宋_GB2312"/>
          <w:sz w:val="32"/>
          <w:szCs w:val="32"/>
          <w:lang w:val="en-US" w:eastAsia="zh-CN"/>
        </w:rPr>
        <w:t>许昌胖东来生产基地源网荷储综合能源基础设施建设项目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220B9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AAF6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许昌胖东来生产基地源网荷储综合能源基础设施建设项目可行性研究报告编制服务</w:t>
      </w:r>
      <w:r>
        <w:rPr>
          <w:rFonts w:hint="eastAsia" w:ascii="仿宋_GB2312" w:hAnsi="仿宋_GB2312" w:eastAsia="仿宋_GB2312" w:cs="仿宋_GB2312"/>
          <w:color w:val="auto"/>
          <w:sz w:val="32"/>
          <w:szCs w:val="32"/>
          <w:lang w:val="en-US" w:eastAsia="zh-CN"/>
        </w:rPr>
        <w:t>。</w:t>
      </w:r>
    </w:p>
    <w:p w14:paraId="23CA45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许昌建投交通发展有限公司</w:t>
      </w:r>
    </w:p>
    <w:p w14:paraId="366CB4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3229D5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8E515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B0BC4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2A78AC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989D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7F97D5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013DD5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98644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55E68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72E95A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3B1DB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2026年7月27日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河南省许昌市建安大道财政综合大楼816室，逾期送达或未送达至指定地点的比选申请文件，比选人不予受理。</w:t>
      </w:r>
    </w:p>
    <w:p w14:paraId="58EAF4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3D9C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78ED6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6B7BB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E1D84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636DC3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13640E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4D2BB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7.84万元。</w:t>
      </w:r>
    </w:p>
    <w:p w14:paraId="536928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01655A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35393627"/>
      <w:bookmarkEnd w:id="1"/>
      <w:bookmarkStart w:id="2" w:name="_Toc35393626"/>
      <w:bookmarkEnd w:id="2"/>
      <w:bookmarkStart w:id="3" w:name="_Toc35393796"/>
      <w:bookmarkEnd w:id="3"/>
      <w:bookmarkStart w:id="4" w:name="_Toc35393795"/>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九、联系方式</w:t>
      </w:r>
    </w:p>
    <w:p w14:paraId="23BD8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许昌建投交通发展有限公司</w:t>
      </w:r>
    </w:p>
    <w:p w14:paraId="7F485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28D9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崔先生</w:t>
      </w:r>
      <w:r>
        <w:rPr>
          <w:rFonts w:hint="eastAsia" w:ascii="仿宋_GB2312" w:hAnsi="仿宋_GB2312" w:eastAsia="仿宋_GB2312" w:cs="仿宋_GB2312"/>
          <w:b w:val="0"/>
          <w:bCs/>
          <w:color w:val="auto"/>
          <w:sz w:val="32"/>
          <w:szCs w:val="32"/>
          <w:highlight w:val="none"/>
          <w:lang w:val="en-GB" w:eastAsia="zh-CN"/>
        </w:rPr>
        <w:t xml:space="preserve">        </w:t>
      </w:r>
    </w:p>
    <w:p w14:paraId="1EF21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3A2F89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3CCC43B0">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0694D08">
      <w:pPr>
        <w:pStyle w:val="14"/>
        <w:rPr>
          <w:rFonts w:hint="eastAsia" w:ascii="仿宋" w:hAnsi="仿宋" w:eastAsia="仿宋" w:cs="仿宋"/>
          <w:b/>
          <w:bCs/>
          <w:color w:val="auto"/>
          <w:sz w:val="24"/>
          <w:szCs w:val="24"/>
        </w:rPr>
      </w:pPr>
    </w:p>
    <w:p w14:paraId="6E93AC7C">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1B5EFF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F0CE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69767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许昌胖东来生产基地源网荷储综合能源基础设施建设项目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25F2D2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1C1792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30CEAE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0362E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558311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D1499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5D24B4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1FF913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27FBEF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7.84万元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319C8C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793964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6061F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2C8A2C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038329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0663E3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2DC591A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80B9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B012F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4604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7408277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8FCA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06CC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DB5E67">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许昌胖东来生产基地源网荷储综合能源基础设施建设项目可行性研究报告编制服务</w:t>
            </w:r>
          </w:p>
          <w:p w14:paraId="6A9897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根据工作需要，咨询公司对许昌胖东来生产基地源网荷储综合能源基础设施建设项目出具《可行性研究报告》，确保满足项目融资需要和指导项目后续推进。</w:t>
            </w:r>
          </w:p>
          <w:p w14:paraId="75AA460F">
            <w:pPr>
              <w:spacing w:line="360" w:lineRule="auto"/>
              <w:jc w:val="left"/>
              <w:rPr>
                <w:rFonts w:hint="eastAsia" w:ascii="仿宋" w:hAnsi="仿宋" w:eastAsia="仿宋" w:cs="仿宋"/>
                <w:color w:val="auto"/>
                <w:sz w:val="24"/>
                <w:szCs w:val="24"/>
                <w:shd w:val="clear" w:color="030000" w:fill="auto"/>
              </w:rPr>
            </w:pPr>
          </w:p>
        </w:tc>
      </w:tr>
      <w:tr w14:paraId="24ECFC4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6D5E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DD20BA">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F96A3">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许昌建投交通发展有限公司</w:t>
            </w:r>
          </w:p>
          <w:p w14:paraId="6572EB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30B5F544">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7A1EF7D3">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6F26E5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5B119A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1F2CE7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C34B8">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762ED32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491BC9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E2143E1">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14B2F6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08B9183E">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5C196D2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3DD4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468FF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A0D1F">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34E5581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AD3C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222D8">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CF830">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7.84万元</w:t>
            </w:r>
            <w:r>
              <w:rPr>
                <w:rFonts w:hint="eastAsia" w:ascii="仿宋" w:hAnsi="仿宋" w:eastAsia="仿宋" w:cs="仿宋"/>
                <w:color w:val="auto"/>
                <w:sz w:val="24"/>
                <w:szCs w:val="24"/>
                <w:highlight w:val="none"/>
                <w:lang w:val="zh-CN" w:eastAsia="zh-CN"/>
              </w:rPr>
              <w:t>，超出最高限价的投标无效。</w:t>
            </w:r>
          </w:p>
          <w:p w14:paraId="34198821">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7A4CB68C">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548CF0C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A56C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8366C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679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30ECF45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C990E5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546F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2E52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F504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710CE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1EFCB3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850B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91F8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225D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419B503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25F493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D928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FA78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11AD2">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5675F6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0143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40F64">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677D1">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045DD51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7CA2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E3E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97CF2A">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0147A8A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4CF3D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0CA18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21538">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5770E5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258A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CCDA54">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498A7">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CC4C13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852A4">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FE0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05166">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565273F0">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4EA1F4A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56D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4682E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6350A7">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5429B9D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CC8A3">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ADCBB">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D4870">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38C2F6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596B5">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296A1">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11DE0">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4D224B61">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FE482B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52D20C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28F17C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01D76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16AF0E8B">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7DC65C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7888D3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676E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395A7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507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7E15F1C">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61617D10">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52CF1055">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768AB74D">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7A1E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09E592D5">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36010D79">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sz w:val="28"/>
                <w:szCs w:val="28"/>
                <w:lang w:val="en-US" w:eastAsia="zh-CN"/>
              </w:rPr>
              <w:t>25</w:t>
            </w:r>
            <w:r>
              <w:rPr>
                <w:rFonts w:hint="eastAsia" w:ascii="宋体" w:hAnsi="宋体"/>
                <w:sz w:val="28"/>
                <w:szCs w:val="28"/>
              </w:rPr>
              <w:t>分</w:t>
            </w:r>
          </w:p>
        </w:tc>
        <w:tc>
          <w:tcPr>
            <w:tcW w:w="4004" w:type="dxa"/>
            <w:vAlign w:val="center"/>
          </w:tcPr>
          <w:p w14:paraId="36874A1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highlight w:val="none"/>
                <w:lang w:val="en-US" w:eastAsia="zh-CN" w:bidi="ar"/>
              </w:rPr>
              <w:t>1.</w:t>
            </w:r>
            <w:r>
              <w:rPr>
                <w:rFonts w:hint="eastAsia" w:ascii="宋体" w:hAnsi="宋体" w:cs="宋体"/>
                <w:color w:val="auto"/>
                <w:kern w:val="0"/>
                <w:sz w:val="28"/>
                <w:szCs w:val="28"/>
                <w:highlight w:val="none"/>
                <w:lang w:bidi="ar"/>
              </w:rPr>
              <w:t>收费超过</w:t>
            </w:r>
            <w:r>
              <w:rPr>
                <w:rFonts w:hint="eastAsia" w:ascii="宋体" w:hAnsi="宋体" w:cs="宋体"/>
                <w:color w:val="auto"/>
                <w:kern w:val="0"/>
                <w:sz w:val="28"/>
                <w:szCs w:val="28"/>
                <w:highlight w:val="none"/>
                <w:lang w:val="en-US" w:eastAsia="zh-CN" w:bidi="ar"/>
              </w:rPr>
              <w:t>7.84</w:t>
            </w:r>
            <w:r>
              <w:rPr>
                <w:rFonts w:hint="eastAsia" w:ascii="宋体" w:hAnsi="宋体" w:cs="宋体"/>
                <w:color w:val="auto"/>
                <w:kern w:val="0"/>
                <w:sz w:val="28"/>
                <w:szCs w:val="28"/>
                <w:highlight w:val="none"/>
                <w:lang w:bidi="ar"/>
              </w:rPr>
              <w:t>万元为无效报价；</w:t>
            </w:r>
            <w:r>
              <w:rPr>
                <w:rFonts w:hint="eastAsia" w:ascii="宋体" w:hAnsi="宋体" w:cs="宋体"/>
                <w:color w:val="auto"/>
                <w:kern w:val="0"/>
                <w:sz w:val="28"/>
                <w:szCs w:val="28"/>
                <w:highlight w:val="none"/>
                <w:lang w:val="en-US" w:eastAsia="zh-CN" w:bidi="ar"/>
              </w:rPr>
              <w:t>2.</w:t>
            </w:r>
            <w:r>
              <w:rPr>
                <w:rFonts w:hint="eastAsia" w:ascii="宋体" w:hAnsi="宋体" w:cs="宋体"/>
                <w:color w:val="auto"/>
                <w:kern w:val="0"/>
                <w:sz w:val="28"/>
                <w:szCs w:val="28"/>
                <w:highlight w:val="none"/>
                <w:lang w:bidi="ar"/>
              </w:rPr>
              <w:t>所有参与的比选申请人最低的有效报价为基准报价；</w:t>
            </w:r>
            <w:r>
              <w:rPr>
                <w:rFonts w:hint="eastAsia" w:ascii="宋体" w:hAnsi="宋体" w:cs="宋体"/>
                <w:color w:val="auto"/>
                <w:kern w:val="0"/>
                <w:sz w:val="28"/>
                <w:szCs w:val="28"/>
                <w:highlight w:val="none"/>
                <w:lang w:val="en-US" w:eastAsia="zh-CN" w:bidi="ar"/>
              </w:rPr>
              <w:t>3.</w:t>
            </w:r>
            <w:r>
              <w:rPr>
                <w:rFonts w:hint="eastAsia" w:ascii="宋体" w:hAnsi="宋体" w:cs="宋体"/>
                <w:color w:val="auto"/>
                <w:kern w:val="0"/>
                <w:sz w:val="28"/>
                <w:szCs w:val="28"/>
                <w:highlight w:val="none"/>
                <w:lang w:bidi="ar"/>
              </w:rPr>
              <w:t>报价得分=（基准报价/报价）×25分。</w:t>
            </w:r>
          </w:p>
        </w:tc>
        <w:tc>
          <w:tcPr>
            <w:tcW w:w="1575" w:type="dxa"/>
            <w:vAlign w:val="center"/>
          </w:tcPr>
          <w:p w14:paraId="1F1F8A4F">
            <w:pPr>
              <w:tabs>
                <w:tab w:val="left" w:pos="622"/>
              </w:tabs>
              <w:jc w:val="center"/>
              <w:rPr>
                <w:rFonts w:hint="eastAsia" w:ascii="宋体" w:hAnsi="宋体"/>
                <w:color w:val="auto"/>
                <w:sz w:val="24"/>
              </w:rPr>
            </w:pPr>
          </w:p>
        </w:tc>
      </w:tr>
      <w:tr w14:paraId="4D2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22B525D">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68E9F2E5">
            <w:pPr>
              <w:tabs>
                <w:tab w:val="left" w:pos="622"/>
              </w:tabs>
              <w:spacing w:line="440" w:lineRule="exact"/>
              <w:jc w:val="center"/>
              <w:rPr>
                <w:rFonts w:hint="eastAsia" w:ascii="宋体" w:hAnsi="宋体"/>
                <w:color w:val="auto"/>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vAlign w:val="center"/>
          </w:tcPr>
          <w:p w14:paraId="6BE4110C">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服务本次</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业务团队成员每有1名取得工程或经济专业中级(含)及以上职称或具有咨询工程师证书的得5分，最高20分</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4"/>
                <w:szCs w:val="24"/>
                <w:lang w:val="en-US" w:eastAsia="zh-CN" w:bidi="ar"/>
              </w:rPr>
              <w:t>注：以上人员除提供证明文件复印件或扫描件外同时应提供投标人为该人员缴纳近1年内任意连续3个月的社保证明材料，否则不得分</w:t>
            </w:r>
            <w:r>
              <w:rPr>
                <w:rFonts w:hint="eastAsia" w:ascii="宋体" w:hAnsi="宋体" w:eastAsia="宋体" w:cs="宋体"/>
                <w:color w:val="000000"/>
                <w:kern w:val="0"/>
                <w:sz w:val="28"/>
                <w:szCs w:val="28"/>
                <w:lang w:val="en-US" w:eastAsia="zh-CN" w:bidi="ar"/>
              </w:rPr>
              <w:t>。</w:t>
            </w:r>
          </w:p>
        </w:tc>
        <w:tc>
          <w:tcPr>
            <w:tcW w:w="1575" w:type="dxa"/>
            <w:vAlign w:val="center"/>
          </w:tcPr>
          <w:p w14:paraId="3B67FD6F">
            <w:pPr>
              <w:tabs>
                <w:tab w:val="left" w:pos="622"/>
              </w:tabs>
              <w:jc w:val="center"/>
              <w:rPr>
                <w:rFonts w:hint="eastAsia" w:ascii="宋体" w:hAnsi="宋体"/>
                <w:color w:val="auto"/>
                <w:sz w:val="24"/>
              </w:rPr>
            </w:pPr>
          </w:p>
        </w:tc>
      </w:tr>
      <w:tr w14:paraId="6E1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36CFFDA">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30E3A8BB">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sz w:val="28"/>
                <w:szCs w:val="28"/>
                <w:lang w:val="en-US" w:eastAsia="zh-CN"/>
              </w:rPr>
              <w:t>35</w:t>
            </w:r>
            <w:r>
              <w:rPr>
                <w:rFonts w:hint="eastAsia" w:ascii="宋体" w:hAnsi="宋体"/>
                <w:sz w:val="28"/>
                <w:szCs w:val="28"/>
              </w:rPr>
              <w:t>分</w:t>
            </w:r>
          </w:p>
        </w:tc>
        <w:tc>
          <w:tcPr>
            <w:tcW w:w="4004" w:type="dxa"/>
            <w:vAlign w:val="center"/>
          </w:tcPr>
          <w:p w14:paraId="6FBB8435">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可研编制时间安排优秀的得8—15分，良好的得1—7分，没有不得分；2.可研方案详细、完好、全面，可研编制中涉及与财政部门、发改部门、专项债包装机构、金融机构、工程、财务等协调和沟通存在困难问题，相关方案和举措优秀的得11—20分，良好的得1—10分，没有不得分。</w:t>
            </w:r>
          </w:p>
        </w:tc>
        <w:tc>
          <w:tcPr>
            <w:tcW w:w="1575" w:type="dxa"/>
            <w:vAlign w:val="center"/>
          </w:tcPr>
          <w:p w14:paraId="5DA4F21B">
            <w:pPr>
              <w:tabs>
                <w:tab w:val="left" w:pos="622"/>
              </w:tabs>
              <w:jc w:val="center"/>
              <w:rPr>
                <w:rFonts w:hint="eastAsia" w:ascii="宋体" w:hAnsi="宋体"/>
                <w:color w:val="auto"/>
                <w:sz w:val="24"/>
              </w:rPr>
            </w:pPr>
          </w:p>
        </w:tc>
      </w:tr>
      <w:tr w14:paraId="2322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0C571997">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2F2CA1EE">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sz w:val="28"/>
                <w:szCs w:val="28"/>
                <w:lang w:val="en-US" w:eastAsia="zh-CN"/>
              </w:rPr>
              <w:t>20分</w:t>
            </w:r>
          </w:p>
        </w:tc>
        <w:tc>
          <w:tcPr>
            <w:tcW w:w="4004" w:type="dxa"/>
            <w:vAlign w:val="center"/>
          </w:tcPr>
          <w:p w14:paraId="0BD708A0">
            <w:pPr>
              <w:tabs>
                <w:tab w:val="left" w:pos="622"/>
              </w:tabs>
              <w:spacing w:line="440" w:lineRule="exact"/>
              <w:jc w:val="left"/>
              <w:rPr>
                <w:rFonts w:hint="eastAsia" w:ascii="宋体" w:hAnsi="宋体" w:eastAsia="宋体"/>
                <w:color w:val="auto"/>
                <w:sz w:val="24"/>
                <w:lang w:val="en-US" w:eastAsia="zh-CN"/>
              </w:rPr>
            </w:pPr>
            <w:r>
              <w:rPr>
                <w:rFonts w:hint="eastAsia" w:ascii="宋体" w:hAnsi="宋体" w:eastAsia="宋体" w:cs="宋体"/>
                <w:color w:val="auto"/>
                <w:kern w:val="2"/>
                <w:sz w:val="28"/>
                <w:szCs w:val="28"/>
                <w:lang w:val="en-US" w:eastAsia="zh-CN" w:bidi="ar"/>
              </w:rPr>
              <w:t>每提供一份近三年（2023年7月1日之后）以来相关项目可研咨询服务业绩证明材料（服务合同）得5分，最高20分。</w:t>
            </w:r>
          </w:p>
        </w:tc>
        <w:tc>
          <w:tcPr>
            <w:tcW w:w="1575" w:type="dxa"/>
            <w:vAlign w:val="center"/>
          </w:tcPr>
          <w:p w14:paraId="4A3E0180">
            <w:pPr>
              <w:tabs>
                <w:tab w:val="left" w:pos="622"/>
              </w:tabs>
              <w:jc w:val="center"/>
              <w:rPr>
                <w:rFonts w:hint="eastAsia" w:ascii="宋体" w:hAnsi="宋体"/>
                <w:color w:val="auto"/>
                <w:sz w:val="24"/>
              </w:rPr>
            </w:pPr>
          </w:p>
        </w:tc>
      </w:tr>
      <w:tr w14:paraId="117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4FDFF695">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00641EE8">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756627A0">
            <w:pPr>
              <w:tabs>
                <w:tab w:val="left" w:pos="622"/>
              </w:tabs>
              <w:jc w:val="center"/>
              <w:rPr>
                <w:rFonts w:hint="eastAsia" w:ascii="宋体" w:hAnsi="宋体"/>
                <w:color w:val="auto"/>
                <w:sz w:val="24"/>
              </w:rPr>
            </w:pPr>
          </w:p>
        </w:tc>
        <w:tc>
          <w:tcPr>
            <w:tcW w:w="1575" w:type="dxa"/>
            <w:vAlign w:val="center"/>
          </w:tcPr>
          <w:p w14:paraId="0BA2D0E9">
            <w:pPr>
              <w:tabs>
                <w:tab w:val="left" w:pos="622"/>
              </w:tabs>
              <w:jc w:val="center"/>
              <w:rPr>
                <w:rFonts w:hint="eastAsia" w:ascii="宋体" w:hAnsi="宋体"/>
                <w:color w:val="auto"/>
                <w:sz w:val="24"/>
              </w:rPr>
            </w:pPr>
          </w:p>
        </w:tc>
      </w:tr>
    </w:tbl>
    <w:p w14:paraId="3B184A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4B6C20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239076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46ECA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1F31B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0D493D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469897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42458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8299C96">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EECD769">
      <w:pPr>
        <w:spacing w:line="360" w:lineRule="auto"/>
        <w:jc w:val="both"/>
        <w:rPr>
          <w:rFonts w:hint="eastAsia" w:ascii="仿宋" w:hAnsi="仿宋" w:eastAsia="仿宋" w:cs="仿宋"/>
          <w:b/>
          <w:color w:val="auto"/>
          <w:sz w:val="40"/>
          <w:szCs w:val="40"/>
          <w:shd w:val="clear" w:color="060000" w:fill="auto"/>
        </w:rPr>
      </w:pPr>
    </w:p>
    <w:p w14:paraId="45DD995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6012040B">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64A533A6">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04C47064">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9B2917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63D5B8EC">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许昌胖东来生产基地源网荷储综合能源基础设施建设项目《可行性研究报告》</w:t>
      </w:r>
    </w:p>
    <w:p w14:paraId="25273973">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编制服务比选</w:t>
      </w:r>
      <w:r>
        <w:rPr>
          <w:rFonts w:hint="eastAsia" w:ascii="方正小标宋简体" w:hAnsi="方正小标宋简体" w:eastAsia="方正小标宋简体" w:cs="方正小标宋简体"/>
          <w:bCs/>
          <w:color w:val="auto"/>
          <w:sz w:val="44"/>
          <w:szCs w:val="44"/>
        </w:rPr>
        <w:t>邀请函</w:t>
      </w:r>
    </w:p>
    <w:p w14:paraId="0A66C85A">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57333E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601595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75188F8">
      <w:pPr>
        <w:jc w:val="center"/>
        <w:rPr>
          <w:rFonts w:hint="eastAsia" w:ascii="仿宋" w:hAnsi="仿宋" w:eastAsia="仿宋" w:cs="仿宋"/>
          <w:color w:val="auto"/>
          <w:sz w:val="28"/>
          <w:szCs w:val="28"/>
          <w:shd w:val="clear" w:color="050000" w:fill="auto"/>
        </w:rPr>
      </w:pPr>
    </w:p>
    <w:p w14:paraId="0EB7632F">
      <w:pPr>
        <w:jc w:val="center"/>
        <w:rPr>
          <w:rFonts w:hint="eastAsia" w:ascii="仿宋" w:hAnsi="仿宋" w:eastAsia="仿宋" w:cs="仿宋"/>
          <w:color w:val="auto"/>
          <w:sz w:val="28"/>
          <w:szCs w:val="28"/>
          <w:shd w:val="clear" w:color="050000" w:fill="auto"/>
        </w:rPr>
      </w:pPr>
    </w:p>
    <w:p w14:paraId="35C7CFF6">
      <w:pPr>
        <w:jc w:val="center"/>
        <w:rPr>
          <w:rFonts w:hint="eastAsia" w:ascii="仿宋" w:hAnsi="仿宋" w:eastAsia="仿宋" w:cs="仿宋"/>
          <w:color w:val="auto"/>
          <w:sz w:val="28"/>
          <w:szCs w:val="28"/>
          <w:shd w:val="clear" w:color="050000" w:fill="auto"/>
        </w:rPr>
      </w:pPr>
    </w:p>
    <w:p w14:paraId="2951FCEE">
      <w:pPr>
        <w:rPr>
          <w:rFonts w:hint="eastAsia" w:ascii="仿宋" w:hAnsi="仿宋" w:eastAsia="仿宋" w:cs="仿宋"/>
          <w:color w:val="auto"/>
          <w:sz w:val="28"/>
          <w:szCs w:val="28"/>
          <w:shd w:val="clear" w:color="050000" w:fill="auto"/>
        </w:rPr>
      </w:pPr>
    </w:p>
    <w:p w14:paraId="302E3F2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509BF663">
      <w:pPr>
        <w:pStyle w:val="3"/>
        <w:numPr>
          <w:ilvl w:val="1"/>
          <w:numId w:val="0"/>
        </w:numPr>
        <w:rPr>
          <w:rFonts w:hint="eastAsia" w:ascii="仿宋" w:hAnsi="仿宋" w:eastAsia="仿宋" w:cs="仿宋"/>
          <w:color w:val="auto"/>
          <w:sz w:val="32"/>
          <w:szCs w:val="32"/>
        </w:rPr>
      </w:pPr>
    </w:p>
    <w:p w14:paraId="428D377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3243CAC2">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60BF5E9B">
      <w:pPr>
        <w:pStyle w:val="9"/>
        <w:spacing w:line="360" w:lineRule="auto"/>
        <w:jc w:val="center"/>
        <w:rPr>
          <w:rFonts w:hint="eastAsia" w:ascii="仿宋" w:hAnsi="仿宋" w:eastAsia="仿宋" w:cs="仿宋"/>
          <w:b/>
          <w:snapToGrid w:val="0"/>
          <w:color w:val="auto"/>
          <w:kern w:val="0"/>
          <w:sz w:val="36"/>
          <w:szCs w:val="36"/>
          <w:lang w:val="zh-CN" w:eastAsia="zh-CN"/>
        </w:rPr>
      </w:pPr>
    </w:p>
    <w:p w14:paraId="4BB0077E">
      <w:pPr>
        <w:pStyle w:val="9"/>
        <w:spacing w:line="360" w:lineRule="auto"/>
        <w:jc w:val="center"/>
        <w:rPr>
          <w:rFonts w:hint="eastAsia" w:ascii="仿宋" w:hAnsi="仿宋" w:eastAsia="仿宋" w:cs="仿宋"/>
          <w:b/>
          <w:snapToGrid w:val="0"/>
          <w:color w:val="auto"/>
          <w:kern w:val="0"/>
          <w:sz w:val="36"/>
          <w:szCs w:val="36"/>
          <w:lang w:val="zh-CN" w:eastAsia="zh-CN"/>
        </w:rPr>
      </w:pPr>
    </w:p>
    <w:p w14:paraId="4AA68474">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362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5D403E29">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6FAF862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3EFF62C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377FB14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6F294E5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88E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F67024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5929220A">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5B1E51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AAC069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582FEF4">
            <w:pPr>
              <w:snapToGrid w:val="0"/>
              <w:spacing w:line="540" w:lineRule="exact"/>
              <w:rPr>
                <w:rFonts w:hint="eastAsia" w:ascii="仿宋" w:hAnsi="仿宋" w:eastAsia="仿宋" w:cs="仿宋"/>
                <w:color w:val="auto"/>
                <w:sz w:val="22"/>
                <w:szCs w:val="22"/>
                <w:highlight w:val="none"/>
              </w:rPr>
            </w:pPr>
          </w:p>
        </w:tc>
      </w:tr>
      <w:tr w14:paraId="70C7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49E05C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47DA303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2229FA6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D036C8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15E6929">
            <w:pPr>
              <w:snapToGrid w:val="0"/>
              <w:spacing w:line="540" w:lineRule="exact"/>
              <w:rPr>
                <w:rFonts w:hint="eastAsia" w:ascii="仿宋" w:hAnsi="仿宋" w:eastAsia="仿宋" w:cs="仿宋"/>
                <w:color w:val="auto"/>
                <w:sz w:val="22"/>
                <w:szCs w:val="22"/>
                <w:highlight w:val="none"/>
              </w:rPr>
            </w:pPr>
          </w:p>
        </w:tc>
      </w:tr>
      <w:tr w14:paraId="193F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D9333F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11B6E59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7077CC0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EEE081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D10EE3">
            <w:pPr>
              <w:snapToGrid w:val="0"/>
              <w:spacing w:line="540" w:lineRule="exact"/>
              <w:rPr>
                <w:rFonts w:hint="eastAsia" w:ascii="仿宋" w:hAnsi="仿宋" w:eastAsia="仿宋" w:cs="仿宋"/>
                <w:color w:val="auto"/>
                <w:sz w:val="22"/>
                <w:szCs w:val="22"/>
                <w:highlight w:val="none"/>
              </w:rPr>
            </w:pPr>
          </w:p>
        </w:tc>
      </w:tr>
      <w:tr w14:paraId="2F37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BE90C9C">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00ACDF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4F9EDDC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AF166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000F6B1">
            <w:pPr>
              <w:snapToGrid w:val="0"/>
              <w:spacing w:line="540" w:lineRule="exact"/>
              <w:rPr>
                <w:rFonts w:hint="eastAsia" w:ascii="仿宋" w:hAnsi="仿宋" w:eastAsia="仿宋" w:cs="仿宋"/>
                <w:color w:val="auto"/>
                <w:sz w:val="22"/>
                <w:szCs w:val="22"/>
                <w:highlight w:val="none"/>
              </w:rPr>
            </w:pPr>
          </w:p>
        </w:tc>
      </w:tr>
      <w:tr w14:paraId="2834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C69619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5BFE0B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0D6EA92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E683C4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4FAA90">
            <w:pPr>
              <w:snapToGrid w:val="0"/>
              <w:spacing w:line="540" w:lineRule="exact"/>
              <w:rPr>
                <w:rFonts w:hint="eastAsia" w:ascii="仿宋" w:hAnsi="仿宋" w:eastAsia="仿宋" w:cs="仿宋"/>
                <w:color w:val="auto"/>
                <w:sz w:val="22"/>
                <w:szCs w:val="22"/>
                <w:highlight w:val="none"/>
              </w:rPr>
            </w:pPr>
          </w:p>
        </w:tc>
      </w:tr>
      <w:tr w14:paraId="526D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BF99D5">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6919F739">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0DD0C7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F3255D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85643FF">
            <w:pPr>
              <w:snapToGrid w:val="0"/>
              <w:spacing w:line="540" w:lineRule="exact"/>
              <w:rPr>
                <w:rFonts w:hint="eastAsia" w:ascii="仿宋" w:hAnsi="仿宋" w:eastAsia="仿宋" w:cs="仿宋"/>
                <w:color w:val="auto"/>
                <w:sz w:val="22"/>
                <w:szCs w:val="22"/>
                <w:highlight w:val="none"/>
              </w:rPr>
            </w:pPr>
          </w:p>
        </w:tc>
      </w:tr>
      <w:tr w14:paraId="02A7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42A821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23F633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649DE2A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F479F7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5B8B5A3">
            <w:pPr>
              <w:snapToGrid w:val="0"/>
              <w:spacing w:line="540" w:lineRule="exact"/>
              <w:rPr>
                <w:rFonts w:hint="eastAsia" w:ascii="仿宋" w:hAnsi="仿宋" w:eastAsia="仿宋" w:cs="仿宋"/>
                <w:color w:val="auto"/>
                <w:sz w:val="22"/>
                <w:szCs w:val="22"/>
                <w:highlight w:val="none"/>
              </w:rPr>
            </w:pPr>
          </w:p>
        </w:tc>
      </w:tr>
      <w:tr w14:paraId="0BE0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A0213E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A4F86D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60262F7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06631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70015BF">
            <w:pPr>
              <w:snapToGrid w:val="0"/>
              <w:spacing w:line="540" w:lineRule="exact"/>
              <w:rPr>
                <w:rFonts w:hint="eastAsia" w:ascii="仿宋" w:hAnsi="仿宋" w:eastAsia="仿宋" w:cs="仿宋"/>
                <w:color w:val="auto"/>
                <w:sz w:val="22"/>
                <w:szCs w:val="22"/>
                <w:highlight w:val="none"/>
              </w:rPr>
            </w:pPr>
          </w:p>
        </w:tc>
      </w:tr>
      <w:tr w14:paraId="153B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EC1A54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471BA2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D4DE20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B4BA9A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68DBF5">
            <w:pPr>
              <w:snapToGrid w:val="0"/>
              <w:spacing w:line="540" w:lineRule="exact"/>
              <w:rPr>
                <w:rFonts w:hint="eastAsia" w:ascii="仿宋" w:hAnsi="仿宋" w:eastAsia="仿宋" w:cs="仿宋"/>
                <w:color w:val="auto"/>
                <w:sz w:val="22"/>
                <w:szCs w:val="22"/>
                <w:highlight w:val="none"/>
              </w:rPr>
            </w:pPr>
          </w:p>
        </w:tc>
      </w:tr>
      <w:tr w14:paraId="7755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351870E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28FEC7C7">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29EF079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AD696A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E36DAAE">
            <w:pPr>
              <w:snapToGrid w:val="0"/>
              <w:spacing w:line="540" w:lineRule="exact"/>
              <w:rPr>
                <w:rFonts w:hint="eastAsia" w:ascii="仿宋" w:hAnsi="仿宋" w:eastAsia="仿宋" w:cs="仿宋"/>
                <w:color w:val="auto"/>
                <w:sz w:val="22"/>
                <w:szCs w:val="22"/>
                <w:highlight w:val="none"/>
              </w:rPr>
            </w:pPr>
          </w:p>
        </w:tc>
      </w:tr>
    </w:tbl>
    <w:p w14:paraId="2E8EB07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F464DA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837615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16371D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FA0CD4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1AE9E87">
      <w:pPr>
        <w:pStyle w:val="14"/>
        <w:rPr>
          <w:rFonts w:hint="eastAsia" w:ascii="仿宋" w:hAnsi="仿宋" w:eastAsia="仿宋" w:cs="仿宋"/>
          <w:color w:val="auto"/>
          <w:sz w:val="24"/>
          <w:szCs w:val="24"/>
        </w:rPr>
      </w:pPr>
    </w:p>
    <w:p w14:paraId="016B20A7">
      <w:pPr>
        <w:pStyle w:val="15"/>
        <w:rPr>
          <w:rFonts w:hint="eastAsia" w:ascii="仿宋" w:hAnsi="仿宋" w:eastAsia="仿宋" w:cs="仿宋"/>
          <w:color w:val="auto"/>
          <w:sz w:val="24"/>
          <w:szCs w:val="24"/>
        </w:rPr>
      </w:pPr>
    </w:p>
    <w:p w14:paraId="15B080D4">
      <w:pPr>
        <w:rPr>
          <w:rFonts w:hint="eastAsia" w:ascii="仿宋" w:hAnsi="仿宋" w:eastAsia="仿宋" w:cs="仿宋"/>
          <w:color w:val="auto"/>
          <w:sz w:val="24"/>
          <w:szCs w:val="24"/>
        </w:rPr>
      </w:pPr>
    </w:p>
    <w:p w14:paraId="1AC626B6">
      <w:pPr>
        <w:pStyle w:val="12"/>
        <w:ind w:left="0" w:leftChars="0" w:firstLine="0" w:firstLineChars="0"/>
        <w:rPr>
          <w:rFonts w:hint="eastAsia" w:ascii="仿宋" w:hAnsi="仿宋" w:eastAsia="仿宋" w:cs="仿宋"/>
          <w:color w:val="auto"/>
          <w:sz w:val="24"/>
          <w:szCs w:val="24"/>
        </w:rPr>
      </w:pPr>
    </w:p>
    <w:p w14:paraId="5A0B0BA2">
      <w:pPr>
        <w:pStyle w:val="15"/>
        <w:rPr>
          <w:rFonts w:hint="eastAsia" w:ascii="仿宋" w:hAnsi="仿宋" w:eastAsia="仿宋" w:cs="仿宋"/>
          <w:color w:val="auto"/>
          <w:sz w:val="24"/>
          <w:szCs w:val="24"/>
        </w:rPr>
      </w:pPr>
    </w:p>
    <w:p w14:paraId="4A9E7591">
      <w:pPr>
        <w:pStyle w:val="12"/>
        <w:rPr>
          <w:rFonts w:hint="eastAsia"/>
          <w:color w:val="auto"/>
        </w:rPr>
      </w:pPr>
    </w:p>
    <w:p w14:paraId="473F4CA7">
      <w:pPr>
        <w:rPr>
          <w:rFonts w:hint="eastAsia" w:ascii="仿宋" w:hAnsi="仿宋" w:eastAsia="仿宋" w:cs="仿宋"/>
          <w:color w:val="auto"/>
          <w:sz w:val="24"/>
          <w:szCs w:val="24"/>
        </w:rPr>
      </w:pPr>
    </w:p>
    <w:p w14:paraId="49DA8F1D">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B5FF0FF">
      <w:pPr>
        <w:pStyle w:val="9"/>
        <w:spacing w:line="360" w:lineRule="auto"/>
        <w:jc w:val="center"/>
        <w:rPr>
          <w:rFonts w:hint="eastAsia" w:ascii="仿宋" w:hAnsi="仿宋" w:eastAsia="仿宋" w:cs="仿宋"/>
          <w:b/>
          <w:snapToGrid w:val="0"/>
          <w:color w:val="auto"/>
          <w:kern w:val="0"/>
          <w:sz w:val="24"/>
          <w:szCs w:val="24"/>
        </w:rPr>
      </w:pPr>
    </w:p>
    <w:p w14:paraId="2482B6B8">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E7E180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827D6C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71998D4">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53A99A0B">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F381A9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D923DE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71AD3E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8442B7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8F9CBF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1E2B57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7FB19C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472EFF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66E92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C479C4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ABC441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C23130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05A91C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54D5BC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3DB9E0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FCC813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671627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1DCD4FC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D1D8A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E975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FBCCF1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79F59A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A2D079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24940B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417DB7E1">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7B8EDA3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576AEC4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6C7AE2B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93B68FB">
      <w:pPr>
        <w:autoSpaceDE w:val="0"/>
        <w:autoSpaceDN w:val="0"/>
        <w:adjustRightInd w:val="0"/>
        <w:spacing w:line="480" w:lineRule="auto"/>
        <w:rPr>
          <w:rFonts w:hint="eastAsia" w:ascii="仿宋" w:hAnsi="仿宋" w:eastAsia="仿宋" w:cs="仿宋"/>
          <w:color w:val="auto"/>
          <w:sz w:val="24"/>
          <w:szCs w:val="24"/>
          <w:lang w:val="zh-CN"/>
        </w:rPr>
      </w:pPr>
    </w:p>
    <w:p w14:paraId="278DE6C5">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51E11C14">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3156E57">
      <w:pPr>
        <w:autoSpaceDE w:val="0"/>
        <w:autoSpaceDN w:val="0"/>
        <w:adjustRightInd w:val="0"/>
        <w:spacing w:line="360" w:lineRule="auto"/>
        <w:rPr>
          <w:rFonts w:hint="eastAsia" w:ascii="仿宋" w:hAnsi="仿宋" w:eastAsia="仿宋" w:cs="仿宋"/>
          <w:color w:val="auto"/>
          <w:sz w:val="24"/>
          <w:szCs w:val="24"/>
          <w:lang w:val="zh-CN"/>
        </w:rPr>
      </w:pPr>
    </w:p>
    <w:p w14:paraId="708A57CF">
      <w:pPr>
        <w:autoSpaceDE w:val="0"/>
        <w:autoSpaceDN w:val="0"/>
        <w:adjustRightInd w:val="0"/>
        <w:spacing w:line="360" w:lineRule="auto"/>
        <w:rPr>
          <w:rFonts w:hint="eastAsia" w:ascii="仿宋" w:hAnsi="仿宋" w:eastAsia="仿宋" w:cs="仿宋"/>
          <w:color w:val="auto"/>
          <w:sz w:val="24"/>
          <w:szCs w:val="24"/>
          <w:lang w:val="zh-CN"/>
        </w:rPr>
      </w:pPr>
    </w:p>
    <w:p w14:paraId="08DCB856">
      <w:pPr>
        <w:autoSpaceDE w:val="0"/>
        <w:autoSpaceDN w:val="0"/>
        <w:adjustRightInd w:val="0"/>
        <w:spacing w:line="360" w:lineRule="auto"/>
        <w:rPr>
          <w:rFonts w:hint="eastAsia" w:ascii="仿宋" w:hAnsi="仿宋" w:eastAsia="仿宋" w:cs="仿宋"/>
          <w:color w:val="auto"/>
          <w:sz w:val="24"/>
          <w:szCs w:val="24"/>
          <w:lang w:val="zh-CN"/>
        </w:rPr>
      </w:pPr>
    </w:p>
    <w:p w14:paraId="3666A2FD">
      <w:pPr>
        <w:autoSpaceDE w:val="0"/>
        <w:autoSpaceDN w:val="0"/>
        <w:adjustRightInd w:val="0"/>
        <w:spacing w:line="360" w:lineRule="auto"/>
        <w:rPr>
          <w:rFonts w:hint="eastAsia" w:ascii="仿宋" w:hAnsi="仿宋" w:eastAsia="仿宋" w:cs="仿宋"/>
          <w:color w:val="auto"/>
          <w:sz w:val="24"/>
          <w:szCs w:val="24"/>
          <w:lang w:val="zh-CN"/>
        </w:rPr>
      </w:pPr>
    </w:p>
    <w:p w14:paraId="2D97EC02">
      <w:pPr>
        <w:pStyle w:val="3"/>
        <w:numPr>
          <w:ilvl w:val="1"/>
          <w:numId w:val="0"/>
        </w:numPr>
        <w:rPr>
          <w:rFonts w:hint="eastAsia"/>
          <w:color w:val="auto"/>
          <w:lang w:val="zh-CN"/>
        </w:rPr>
      </w:pPr>
    </w:p>
    <w:p w14:paraId="6B27B6A0">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26BA56C9">
      <w:pPr>
        <w:pStyle w:val="14"/>
        <w:rPr>
          <w:rFonts w:hint="eastAsia" w:ascii="仿宋" w:hAnsi="仿宋" w:eastAsia="仿宋" w:cs="仿宋"/>
          <w:color w:val="auto"/>
          <w:sz w:val="24"/>
          <w:szCs w:val="24"/>
          <w:lang w:val="zh-CN"/>
        </w:rPr>
      </w:pPr>
    </w:p>
    <w:p w14:paraId="7FFAF4EC">
      <w:pPr>
        <w:spacing w:line="480" w:lineRule="exact"/>
        <w:jc w:val="center"/>
        <w:rPr>
          <w:rFonts w:hint="eastAsia" w:ascii="仿宋" w:hAnsi="仿宋" w:eastAsia="仿宋" w:cs="仿宋"/>
          <w:b/>
          <w:bCs/>
          <w:color w:val="auto"/>
          <w:sz w:val="24"/>
          <w:szCs w:val="24"/>
        </w:rPr>
      </w:pPr>
    </w:p>
    <w:p w14:paraId="118F4CF1">
      <w:pPr>
        <w:pStyle w:val="9"/>
        <w:spacing w:line="360" w:lineRule="auto"/>
        <w:jc w:val="center"/>
        <w:rPr>
          <w:rFonts w:hint="eastAsia" w:ascii="仿宋" w:hAnsi="仿宋" w:eastAsia="仿宋" w:cs="仿宋"/>
          <w:b/>
          <w:snapToGrid w:val="0"/>
          <w:color w:val="auto"/>
          <w:kern w:val="0"/>
          <w:sz w:val="36"/>
          <w:szCs w:val="36"/>
          <w:lang w:eastAsia="zh-CN"/>
        </w:rPr>
      </w:pPr>
    </w:p>
    <w:p w14:paraId="161EF26C">
      <w:pPr>
        <w:pStyle w:val="9"/>
        <w:spacing w:line="360" w:lineRule="auto"/>
        <w:jc w:val="center"/>
        <w:rPr>
          <w:rFonts w:hint="eastAsia" w:ascii="仿宋" w:hAnsi="仿宋" w:eastAsia="仿宋" w:cs="仿宋"/>
          <w:b/>
          <w:snapToGrid w:val="0"/>
          <w:color w:val="auto"/>
          <w:kern w:val="0"/>
          <w:sz w:val="36"/>
          <w:szCs w:val="36"/>
          <w:lang w:eastAsia="zh-CN"/>
        </w:rPr>
      </w:pPr>
    </w:p>
    <w:p w14:paraId="62005303">
      <w:pPr>
        <w:pStyle w:val="9"/>
        <w:spacing w:line="360" w:lineRule="auto"/>
        <w:jc w:val="center"/>
        <w:rPr>
          <w:rFonts w:hint="eastAsia" w:ascii="仿宋" w:hAnsi="仿宋" w:eastAsia="仿宋" w:cs="仿宋"/>
          <w:b/>
          <w:snapToGrid w:val="0"/>
          <w:color w:val="auto"/>
          <w:kern w:val="0"/>
          <w:sz w:val="36"/>
          <w:szCs w:val="36"/>
          <w:lang w:eastAsia="zh-CN"/>
        </w:rPr>
      </w:pPr>
    </w:p>
    <w:p w14:paraId="491D5B21">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68513280">
      <w:pPr>
        <w:jc w:val="left"/>
        <w:rPr>
          <w:rFonts w:hint="eastAsia" w:ascii="仿宋" w:hAnsi="仿宋" w:eastAsia="仿宋" w:cs="仿宋"/>
          <w:b/>
          <w:bCs/>
          <w:color w:val="auto"/>
          <w:sz w:val="24"/>
          <w:szCs w:val="24"/>
        </w:rPr>
      </w:pPr>
    </w:p>
    <w:p w14:paraId="7C3A6AF4">
      <w:pPr>
        <w:jc w:val="center"/>
        <w:rPr>
          <w:rFonts w:hint="eastAsia" w:ascii="仿宋" w:hAnsi="仿宋" w:eastAsia="仿宋" w:cs="仿宋"/>
          <w:b/>
          <w:bCs/>
          <w:color w:val="auto"/>
          <w:sz w:val="24"/>
          <w:szCs w:val="24"/>
          <w:lang w:val="en-US" w:eastAsia="zh-CN"/>
        </w:rPr>
      </w:pPr>
    </w:p>
    <w:p w14:paraId="0DD347F4">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20FF6E8E">
      <w:pPr>
        <w:jc w:val="left"/>
        <w:rPr>
          <w:rFonts w:hint="eastAsia" w:ascii="仿宋" w:hAnsi="仿宋" w:eastAsia="仿宋" w:cs="仿宋"/>
          <w:b/>
          <w:bCs/>
          <w:color w:val="auto"/>
          <w:sz w:val="32"/>
          <w:szCs w:val="32"/>
        </w:rPr>
      </w:pPr>
    </w:p>
    <w:p w14:paraId="19DFBCAA">
      <w:pPr>
        <w:jc w:val="left"/>
        <w:rPr>
          <w:rFonts w:hint="eastAsia" w:ascii="仿宋" w:hAnsi="仿宋" w:eastAsia="仿宋" w:cs="仿宋"/>
          <w:b/>
          <w:bCs/>
          <w:color w:val="auto"/>
          <w:sz w:val="32"/>
          <w:szCs w:val="32"/>
        </w:rPr>
      </w:pPr>
    </w:p>
    <w:p w14:paraId="19FE44A4">
      <w:pPr>
        <w:jc w:val="left"/>
        <w:rPr>
          <w:rFonts w:hint="eastAsia" w:ascii="仿宋" w:hAnsi="仿宋" w:eastAsia="仿宋" w:cs="仿宋"/>
          <w:b/>
          <w:bCs/>
          <w:color w:val="auto"/>
          <w:sz w:val="32"/>
          <w:szCs w:val="32"/>
        </w:rPr>
      </w:pPr>
    </w:p>
    <w:p w14:paraId="55A5846B">
      <w:pPr>
        <w:jc w:val="left"/>
        <w:rPr>
          <w:rFonts w:hint="eastAsia" w:ascii="仿宋" w:hAnsi="仿宋" w:eastAsia="仿宋" w:cs="仿宋"/>
          <w:b/>
          <w:bCs/>
          <w:color w:val="auto"/>
          <w:sz w:val="24"/>
          <w:szCs w:val="24"/>
        </w:rPr>
      </w:pPr>
    </w:p>
    <w:p w14:paraId="5715FADD">
      <w:pPr>
        <w:jc w:val="left"/>
        <w:rPr>
          <w:rFonts w:hint="eastAsia" w:ascii="仿宋" w:hAnsi="仿宋" w:eastAsia="仿宋" w:cs="仿宋"/>
          <w:b/>
          <w:bCs/>
          <w:color w:val="auto"/>
          <w:sz w:val="24"/>
          <w:szCs w:val="24"/>
        </w:rPr>
      </w:pPr>
    </w:p>
    <w:p w14:paraId="4DCF3ABE">
      <w:pPr>
        <w:jc w:val="left"/>
        <w:rPr>
          <w:rFonts w:hint="eastAsia" w:ascii="仿宋" w:hAnsi="仿宋" w:eastAsia="仿宋" w:cs="仿宋"/>
          <w:b/>
          <w:bCs/>
          <w:color w:val="auto"/>
          <w:sz w:val="24"/>
          <w:szCs w:val="24"/>
        </w:rPr>
      </w:pPr>
    </w:p>
    <w:p w14:paraId="241D7693">
      <w:pPr>
        <w:jc w:val="left"/>
        <w:rPr>
          <w:rFonts w:hint="eastAsia" w:ascii="仿宋" w:hAnsi="仿宋" w:eastAsia="仿宋" w:cs="仿宋"/>
          <w:b/>
          <w:bCs/>
          <w:color w:val="auto"/>
          <w:sz w:val="24"/>
          <w:szCs w:val="24"/>
        </w:rPr>
      </w:pPr>
    </w:p>
    <w:p w14:paraId="15865FCE">
      <w:pPr>
        <w:jc w:val="left"/>
        <w:rPr>
          <w:rFonts w:hint="eastAsia" w:ascii="仿宋" w:hAnsi="仿宋" w:eastAsia="仿宋" w:cs="仿宋"/>
          <w:b/>
          <w:bCs/>
          <w:color w:val="auto"/>
          <w:sz w:val="24"/>
          <w:szCs w:val="24"/>
        </w:rPr>
      </w:pPr>
    </w:p>
    <w:p w14:paraId="4D88E902">
      <w:pPr>
        <w:jc w:val="left"/>
        <w:rPr>
          <w:rFonts w:hint="eastAsia" w:ascii="仿宋" w:hAnsi="仿宋" w:eastAsia="仿宋" w:cs="仿宋"/>
          <w:b/>
          <w:bCs/>
          <w:color w:val="auto"/>
          <w:sz w:val="24"/>
          <w:szCs w:val="24"/>
        </w:rPr>
      </w:pPr>
    </w:p>
    <w:p w14:paraId="4BC470DA">
      <w:pPr>
        <w:jc w:val="left"/>
        <w:rPr>
          <w:rFonts w:hint="eastAsia" w:ascii="仿宋" w:hAnsi="仿宋" w:eastAsia="仿宋" w:cs="仿宋"/>
          <w:b/>
          <w:bCs/>
          <w:color w:val="auto"/>
          <w:sz w:val="24"/>
          <w:szCs w:val="24"/>
        </w:rPr>
      </w:pPr>
    </w:p>
    <w:p w14:paraId="570095D5">
      <w:pPr>
        <w:jc w:val="left"/>
        <w:rPr>
          <w:rFonts w:hint="eastAsia" w:ascii="仿宋" w:hAnsi="仿宋" w:eastAsia="仿宋" w:cs="仿宋"/>
          <w:b/>
          <w:bCs/>
          <w:color w:val="auto"/>
          <w:sz w:val="24"/>
          <w:szCs w:val="24"/>
        </w:rPr>
      </w:pPr>
    </w:p>
    <w:p w14:paraId="319A5057">
      <w:pPr>
        <w:jc w:val="left"/>
        <w:rPr>
          <w:rFonts w:hint="eastAsia" w:ascii="仿宋" w:hAnsi="仿宋" w:eastAsia="仿宋" w:cs="仿宋"/>
          <w:b/>
          <w:bCs/>
          <w:color w:val="auto"/>
          <w:sz w:val="24"/>
          <w:szCs w:val="24"/>
        </w:rPr>
      </w:pPr>
    </w:p>
    <w:p w14:paraId="4EBE65B3">
      <w:pPr>
        <w:jc w:val="left"/>
        <w:rPr>
          <w:rFonts w:hint="eastAsia" w:ascii="仿宋" w:hAnsi="仿宋" w:eastAsia="仿宋" w:cs="仿宋"/>
          <w:b/>
          <w:bCs/>
          <w:color w:val="auto"/>
          <w:sz w:val="24"/>
          <w:szCs w:val="24"/>
        </w:rPr>
      </w:pPr>
    </w:p>
    <w:p w14:paraId="7397E182">
      <w:pPr>
        <w:jc w:val="left"/>
        <w:rPr>
          <w:rFonts w:hint="eastAsia" w:ascii="仿宋" w:hAnsi="仿宋" w:eastAsia="仿宋" w:cs="仿宋"/>
          <w:b/>
          <w:bCs/>
          <w:color w:val="auto"/>
          <w:sz w:val="24"/>
          <w:szCs w:val="24"/>
        </w:rPr>
      </w:pPr>
    </w:p>
    <w:p w14:paraId="57221F20">
      <w:pPr>
        <w:jc w:val="left"/>
        <w:rPr>
          <w:rFonts w:hint="eastAsia" w:ascii="仿宋" w:hAnsi="仿宋" w:eastAsia="仿宋" w:cs="仿宋"/>
          <w:b/>
          <w:bCs/>
          <w:color w:val="auto"/>
          <w:sz w:val="24"/>
          <w:szCs w:val="24"/>
        </w:rPr>
      </w:pPr>
    </w:p>
    <w:p w14:paraId="1E5FDFF8">
      <w:pPr>
        <w:jc w:val="left"/>
        <w:rPr>
          <w:rFonts w:hint="eastAsia" w:ascii="仿宋" w:hAnsi="仿宋" w:eastAsia="仿宋" w:cs="仿宋"/>
          <w:b/>
          <w:bCs/>
          <w:color w:val="auto"/>
          <w:sz w:val="24"/>
          <w:szCs w:val="24"/>
        </w:rPr>
      </w:pPr>
    </w:p>
    <w:p w14:paraId="52EA49E8">
      <w:pPr>
        <w:jc w:val="left"/>
        <w:rPr>
          <w:rFonts w:hint="eastAsia" w:ascii="仿宋" w:hAnsi="仿宋" w:eastAsia="仿宋" w:cs="仿宋"/>
          <w:b/>
          <w:bCs/>
          <w:color w:val="auto"/>
          <w:sz w:val="24"/>
          <w:szCs w:val="24"/>
        </w:rPr>
      </w:pPr>
    </w:p>
    <w:p w14:paraId="23AC772B">
      <w:pPr>
        <w:jc w:val="left"/>
        <w:rPr>
          <w:rFonts w:hint="eastAsia" w:ascii="仿宋" w:hAnsi="仿宋" w:eastAsia="仿宋" w:cs="仿宋"/>
          <w:b/>
          <w:bCs/>
          <w:color w:val="auto"/>
          <w:sz w:val="24"/>
          <w:szCs w:val="24"/>
        </w:rPr>
      </w:pPr>
    </w:p>
    <w:p w14:paraId="11E6B0FC">
      <w:pPr>
        <w:jc w:val="left"/>
        <w:rPr>
          <w:rFonts w:hint="eastAsia" w:ascii="仿宋" w:hAnsi="仿宋" w:eastAsia="仿宋" w:cs="仿宋"/>
          <w:b/>
          <w:bCs/>
          <w:color w:val="auto"/>
          <w:sz w:val="24"/>
          <w:szCs w:val="24"/>
        </w:rPr>
      </w:pPr>
    </w:p>
    <w:p w14:paraId="34120FFC">
      <w:pPr>
        <w:jc w:val="left"/>
        <w:rPr>
          <w:rFonts w:hint="eastAsia" w:ascii="仿宋" w:hAnsi="仿宋" w:eastAsia="仿宋" w:cs="仿宋"/>
          <w:b/>
          <w:bCs/>
          <w:color w:val="auto"/>
          <w:sz w:val="24"/>
          <w:szCs w:val="24"/>
        </w:rPr>
      </w:pPr>
    </w:p>
    <w:p w14:paraId="1B6A1C3C">
      <w:pPr>
        <w:jc w:val="left"/>
        <w:rPr>
          <w:rFonts w:hint="eastAsia" w:ascii="仿宋" w:hAnsi="仿宋" w:eastAsia="仿宋" w:cs="仿宋"/>
          <w:b/>
          <w:bCs/>
          <w:color w:val="auto"/>
          <w:sz w:val="24"/>
          <w:szCs w:val="24"/>
        </w:rPr>
      </w:pPr>
    </w:p>
    <w:p w14:paraId="38A25BB8">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6FE525A">
      <w:pPr>
        <w:autoSpaceDE w:val="0"/>
        <w:autoSpaceDN w:val="0"/>
        <w:adjustRightInd w:val="0"/>
        <w:spacing w:line="360" w:lineRule="auto"/>
        <w:jc w:val="center"/>
        <w:rPr>
          <w:rFonts w:hint="eastAsia" w:ascii="仿宋" w:hAnsi="仿宋" w:eastAsia="仿宋" w:cs="仿宋"/>
          <w:b/>
          <w:bCs/>
          <w:color w:val="auto"/>
          <w:sz w:val="24"/>
          <w:szCs w:val="24"/>
        </w:rPr>
      </w:pPr>
    </w:p>
    <w:p w14:paraId="6769D48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致许昌建投交通发展有限公司： </w:t>
      </w:r>
    </w:p>
    <w:p w14:paraId="5ACF604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4D76FFC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78E7CC9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5C91534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2D89FFC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14E629C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D6DB1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706FED5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2F8375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1DE6EE81">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4972E4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020FB76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6C4B292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0E3EF13">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53ABB579">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11ECCA29">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143895E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BCEEF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CCD1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200DA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5C4C6F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331567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9F9AD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C40D9F5">
      <w:pPr>
        <w:rPr>
          <w:rFonts w:hint="eastAsia" w:ascii="仿宋" w:hAnsi="仿宋" w:eastAsia="仿宋" w:cs="仿宋"/>
          <w:color w:val="auto"/>
          <w:lang w:val="zh-CN"/>
        </w:rPr>
      </w:pPr>
    </w:p>
    <w:p w14:paraId="5050F6A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E4B821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244F8D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A762EC5">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D12E82F">
      <w:pPr>
        <w:rPr>
          <w:rFonts w:hint="eastAsia"/>
        </w:rPr>
      </w:pPr>
    </w:p>
    <w:p w14:paraId="19C27629">
      <w:pPr>
        <w:widowControl/>
        <w:ind w:firstLine="640" w:firstLineChars="200"/>
        <w:jc w:val="both"/>
        <w:rPr>
          <w:rFonts w:hint="eastAsia" w:ascii="仿宋_GB2312" w:hAnsi="仿宋_GB2312" w:eastAsia="仿宋_GB2312" w:cs="仿宋_GB2312"/>
          <w:color w:val="auto"/>
          <w:sz w:val="32"/>
          <w:szCs w:val="32"/>
          <w:lang w:val="en-US" w:eastAsia="zh-CN"/>
        </w:rPr>
      </w:pPr>
    </w:p>
    <w:p w14:paraId="05609B0C">
      <w:pPr>
        <w:keepNext w:val="0"/>
        <w:keepLines w:val="0"/>
        <w:pageBreakBefore w:val="0"/>
        <w:widowControl/>
        <w:suppressLineNumbers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致：许昌建投交通发展有限公司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7B6D8FB">
      <w:pPr>
        <w:ind w:firstLine="6400" w:firstLineChars="2000"/>
        <w:rPr>
          <w:rFonts w:hint="eastAsia" w:ascii="仿宋_GB2312" w:hAnsi="仿宋_GB2312" w:eastAsia="仿宋_GB2312" w:cs="仿宋_GB2312"/>
          <w:sz w:val="32"/>
          <w:szCs w:val="32"/>
        </w:rPr>
      </w:pPr>
    </w:p>
    <w:p w14:paraId="626E03FC">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30D098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BD1A417">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1AFCFB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37AAB36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C2A06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6232E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85B1BAB">
      <w:pPr>
        <w:pStyle w:val="9"/>
        <w:spacing w:line="360" w:lineRule="auto"/>
        <w:jc w:val="both"/>
        <w:rPr>
          <w:rFonts w:hint="eastAsia" w:ascii="仿宋" w:hAnsi="仿宋" w:eastAsia="仿宋" w:cs="仿宋"/>
          <w:b/>
          <w:bCs/>
          <w:color w:val="auto"/>
          <w:sz w:val="28"/>
          <w:szCs w:val="28"/>
          <w:highlight w:val="none"/>
          <w:lang w:val="en-US" w:eastAsia="zh-CN"/>
        </w:rPr>
      </w:pPr>
    </w:p>
    <w:p w14:paraId="58366C0D">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C17C6A8">
      <w:pPr>
        <w:pStyle w:val="9"/>
        <w:spacing w:line="360" w:lineRule="auto"/>
        <w:jc w:val="center"/>
        <w:rPr>
          <w:rFonts w:hint="eastAsia" w:ascii="仿宋" w:hAnsi="仿宋" w:eastAsia="仿宋" w:cs="仿宋"/>
          <w:b/>
          <w:bCs/>
          <w:color w:val="auto"/>
          <w:sz w:val="28"/>
          <w:szCs w:val="28"/>
          <w:highlight w:val="none"/>
          <w:lang w:val="en-US" w:eastAsia="zh-CN"/>
        </w:rPr>
      </w:pPr>
    </w:p>
    <w:p w14:paraId="380B812A">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4AF324C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4C164BD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888F7CB">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F0B1FC1">
      <w:pPr>
        <w:pStyle w:val="9"/>
        <w:spacing w:line="360" w:lineRule="auto"/>
        <w:jc w:val="center"/>
        <w:rPr>
          <w:rFonts w:hint="eastAsia" w:ascii="仿宋" w:hAnsi="仿宋" w:eastAsia="仿宋" w:cs="仿宋"/>
          <w:b/>
          <w:bCs/>
          <w:color w:val="auto"/>
          <w:sz w:val="28"/>
          <w:szCs w:val="28"/>
          <w:highlight w:val="none"/>
        </w:rPr>
      </w:pPr>
    </w:p>
    <w:p w14:paraId="24D5C81C">
      <w:pPr>
        <w:pStyle w:val="9"/>
        <w:spacing w:line="360" w:lineRule="auto"/>
        <w:jc w:val="center"/>
        <w:rPr>
          <w:rFonts w:hint="eastAsia" w:ascii="仿宋" w:hAnsi="仿宋" w:eastAsia="仿宋" w:cs="仿宋"/>
          <w:b/>
          <w:bCs/>
          <w:color w:val="auto"/>
          <w:sz w:val="28"/>
          <w:szCs w:val="28"/>
          <w:highlight w:val="none"/>
        </w:rPr>
      </w:pPr>
    </w:p>
    <w:p w14:paraId="07D59C61">
      <w:pPr>
        <w:pStyle w:val="9"/>
        <w:spacing w:line="360" w:lineRule="auto"/>
        <w:jc w:val="center"/>
        <w:rPr>
          <w:rFonts w:hint="eastAsia" w:ascii="仿宋" w:hAnsi="仿宋" w:eastAsia="仿宋" w:cs="仿宋"/>
          <w:b/>
          <w:bCs/>
          <w:color w:val="auto"/>
          <w:sz w:val="28"/>
          <w:szCs w:val="28"/>
          <w:highlight w:val="none"/>
        </w:rPr>
      </w:pPr>
    </w:p>
    <w:p w14:paraId="01FD11B2">
      <w:pPr>
        <w:rPr>
          <w:rFonts w:hint="eastAsia" w:ascii="仿宋" w:hAnsi="仿宋" w:eastAsia="仿宋" w:cs="仿宋"/>
          <w:color w:val="auto"/>
          <w:sz w:val="20"/>
          <w:szCs w:val="18"/>
          <w:highlight w:val="none"/>
        </w:rPr>
      </w:pPr>
    </w:p>
    <w:p w14:paraId="32258B5B">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09629E5F">
      <w:pPr>
        <w:pStyle w:val="9"/>
        <w:spacing w:line="360" w:lineRule="auto"/>
        <w:jc w:val="center"/>
        <w:rPr>
          <w:rFonts w:hint="eastAsia" w:ascii="仿宋" w:hAnsi="仿宋" w:eastAsia="仿宋" w:cs="仿宋"/>
          <w:b/>
          <w:bCs/>
          <w:color w:val="auto"/>
          <w:sz w:val="28"/>
          <w:szCs w:val="28"/>
          <w:highlight w:val="none"/>
        </w:rPr>
      </w:pPr>
    </w:p>
    <w:p w14:paraId="4043DD1D">
      <w:pPr>
        <w:pStyle w:val="9"/>
        <w:spacing w:line="360" w:lineRule="auto"/>
        <w:jc w:val="both"/>
        <w:rPr>
          <w:rFonts w:hint="eastAsia" w:ascii="仿宋" w:hAnsi="仿宋" w:eastAsia="仿宋" w:cs="仿宋"/>
          <w:b/>
          <w:bCs/>
          <w:color w:val="auto"/>
          <w:sz w:val="28"/>
          <w:szCs w:val="28"/>
          <w:highlight w:val="none"/>
        </w:rPr>
      </w:pPr>
    </w:p>
    <w:p w14:paraId="3C63F7C3">
      <w:pPr>
        <w:pStyle w:val="9"/>
        <w:spacing w:line="360" w:lineRule="auto"/>
        <w:jc w:val="both"/>
        <w:rPr>
          <w:rFonts w:hint="eastAsia" w:ascii="仿宋" w:hAnsi="仿宋" w:eastAsia="仿宋" w:cs="仿宋"/>
          <w:b/>
          <w:bCs/>
          <w:color w:val="auto"/>
          <w:sz w:val="28"/>
          <w:szCs w:val="28"/>
          <w:highlight w:val="none"/>
        </w:rPr>
      </w:pPr>
    </w:p>
    <w:p w14:paraId="11B6BA8E">
      <w:pPr>
        <w:pStyle w:val="9"/>
        <w:spacing w:line="360" w:lineRule="auto"/>
        <w:jc w:val="both"/>
        <w:rPr>
          <w:rFonts w:hint="eastAsia" w:ascii="仿宋" w:hAnsi="仿宋" w:eastAsia="仿宋" w:cs="仿宋"/>
          <w:b/>
          <w:bCs/>
          <w:color w:val="auto"/>
          <w:sz w:val="28"/>
          <w:szCs w:val="28"/>
          <w:highlight w:val="none"/>
        </w:rPr>
      </w:pPr>
    </w:p>
    <w:p w14:paraId="395CBF2F">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5.3咨询服务证明材料</w:t>
      </w:r>
    </w:p>
    <w:p w14:paraId="64735D22">
      <w:pPr>
        <w:pStyle w:val="9"/>
        <w:spacing w:line="360" w:lineRule="auto"/>
        <w:jc w:val="center"/>
        <w:rPr>
          <w:rFonts w:hint="eastAsia" w:ascii="仿宋" w:hAnsi="仿宋" w:eastAsia="仿宋" w:cs="仿宋"/>
          <w:b/>
          <w:bCs/>
          <w:color w:val="auto"/>
          <w:sz w:val="28"/>
          <w:szCs w:val="28"/>
          <w:highlight w:val="none"/>
          <w:lang w:val="zh-CN"/>
        </w:rPr>
      </w:pPr>
    </w:p>
    <w:p w14:paraId="40546E1B">
      <w:pPr>
        <w:pStyle w:val="9"/>
        <w:spacing w:line="360" w:lineRule="auto"/>
        <w:jc w:val="center"/>
        <w:rPr>
          <w:rFonts w:hint="eastAsia" w:ascii="仿宋" w:hAnsi="仿宋" w:eastAsia="仿宋" w:cs="仿宋"/>
          <w:b/>
          <w:bCs/>
          <w:color w:val="auto"/>
          <w:sz w:val="28"/>
          <w:szCs w:val="28"/>
          <w:highlight w:val="none"/>
          <w:lang w:val="zh-CN"/>
        </w:rPr>
      </w:pPr>
    </w:p>
    <w:p w14:paraId="779B4412">
      <w:pPr>
        <w:pStyle w:val="9"/>
        <w:spacing w:line="360" w:lineRule="auto"/>
        <w:jc w:val="center"/>
        <w:rPr>
          <w:rFonts w:hint="eastAsia" w:ascii="仿宋" w:hAnsi="仿宋" w:eastAsia="仿宋" w:cs="仿宋"/>
          <w:b/>
          <w:bCs/>
          <w:color w:val="auto"/>
          <w:sz w:val="28"/>
          <w:szCs w:val="28"/>
          <w:highlight w:val="none"/>
          <w:lang w:val="zh-CN"/>
        </w:rPr>
      </w:pPr>
    </w:p>
    <w:p w14:paraId="0309A04A">
      <w:pPr>
        <w:pStyle w:val="9"/>
        <w:spacing w:line="360" w:lineRule="auto"/>
        <w:jc w:val="center"/>
        <w:rPr>
          <w:rFonts w:hint="eastAsia" w:ascii="仿宋" w:hAnsi="仿宋" w:eastAsia="仿宋" w:cs="仿宋"/>
          <w:b/>
          <w:bCs/>
          <w:color w:val="auto"/>
          <w:sz w:val="28"/>
          <w:szCs w:val="28"/>
          <w:highlight w:val="none"/>
          <w:lang w:val="zh-CN"/>
        </w:rPr>
      </w:pPr>
    </w:p>
    <w:p w14:paraId="41CB3684">
      <w:pPr>
        <w:pStyle w:val="9"/>
        <w:spacing w:line="360" w:lineRule="auto"/>
        <w:jc w:val="center"/>
        <w:rPr>
          <w:rFonts w:hint="eastAsia" w:ascii="仿宋" w:hAnsi="仿宋" w:eastAsia="仿宋" w:cs="仿宋"/>
          <w:b/>
          <w:bCs/>
          <w:color w:val="auto"/>
          <w:sz w:val="28"/>
          <w:szCs w:val="28"/>
          <w:highlight w:val="none"/>
          <w:lang w:val="en-US" w:eastAsia="zh-CN"/>
        </w:rPr>
      </w:pPr>
    </w:p>
    <w:p w14:paraId="1FB8FA03">
      <w:pPr>
        <w:pStyle w:val="9"/>
        <w:spacing w:line="360" w:lineRule="auto"/>
        <w:jc w:val="center"/>
        <w:rPr>
          <w:rFonts w:hint="eastAsia" w:ascii="仿宋" w:hAnsi="仿宋" w:eastAsia="仿宋" w:cs="仿宋"/>
          <w:b/>
          <w:bCs/>
          <w:color w:val="auto"/>
          <w:sz w:val="28"/>
          <w:szCs w:val="28"/>
          <w:highlight w:val="none"/>
          <w:lang w:val="en-US" w:eastAsia="zh-CN"/>
        </w:rPr>
      </w:pPr>
    </w:p>
    <w:p w14:paraId="7715C792">
      <w:pPr>
        <w:pStyle w:val="9"/>
        <w:spacing w:line="360" w:lineRule="auto"/>
        <w:jc w:val="center"/>
        <w:rPr>
          <w:rFonts w:hint="eastAsia" w:ascii="仿宋" w:hAnsi="仿宋" w:eastAsia="仿宋" w:cs="仿宋"/>
          <w:b/>
          <w:bCs/>
          <w:color w:val="auto"/>
          <w:sz w:val="28"/>
          <w:szCs w:val="28"/>
          <w:highlight w:val="none"/>
          <w:lang w:val="en-US" w:eastAsia="zh-CN"/>
        </w:rPr>
      </w:pPr>
    </w:p>
    <w:p w14:paraId="611DED16">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1C9055CA">
      <w:pPr>
        <w:pStyle w:val="9"/>
        <w:spacing w:line="360" w:lineRule="auto"/>
        <w:jc w:val="center"/>
        <w:rPr>
          <w:rFonts w:hint="eastAsia" w:ascii="仿宋" w:hAnsi="仿宋" w:eastAsia="仿宋" w:cs="仿宋"/>
          <w:b/>
          <w:bCs/>
          <w:color w:val="auto"/>
          <w:sz w:val="28"/>
          <w:szCs w:val="28"/>
          <w:highlight w:val="none"/>
        </w:rPr>
      </w:pPr>
    </w:p>
    <w:p w14:paraId="0D344A43">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1D38DF03">
      <w:pPr>
        <w:rPr>
          <w:rFonts w:hint="eastAsia" w:ascii="仿宋" w:hAnsi="仿宋" w:eastAsia="仿宋" w:cs="仿宋"/>
          <w:color w:val="auto"/>
          <w:sz w:val="20"/>
          <w:szCs w:val="18"/>
          <w:highlight w:val="none"/>
        </w:rPr>
      </w:pPr>
    </w:p>
    <w:p w14:paraId="658D00B5">
      <w:pPr>
        <w:rPr>
          <w:rFonts w:hint="eastAsia" w:ascii="仿宋" w:hAnsi="仿宋" w:eastAsia="仿宋" w:cs="仿宋"/>
          <w:color w:val="auto"/>
          <w:sz w:val="20"/>
          <w:szCs w:val="18"/>
          <w:highlight w:val="none"/>
        </w:rPr>
      </w:pPr>
    </w:p>
    <w:p w14:paraId="33C8FF6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5A1FA7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339C7F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3F8D3F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418437D">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20CCFA4D-03E7-45E5-A39E-556518BB7EF0}"/>
  </w:font>
  <w:font w:name="仿宋">
    <w:panose1 w:val="02010609060101010101"/>
    <w:charset w:val="86"/>
    <w:family w:val="auto"/>
    <w:pitch w:val="default"/>
    <w:sig w:usb0="800002BF" w:usb1="38CF7CFA" w:usb2="00000016" w:usb3="00000000" w:csb0="00040001" w:csb1="00000000"/>
    <w:embedRegular r:id="rId2" w:fontKey="{EC6B9FAF-A9E9-4058-B602-96C0027CADFB}"/>
  </w:font>
  <w:font w:name="仿宋_GB2312">
    <w:panose1 w:val="02010609030101010101"/>
    <w:charset w:val="86"/>
    <w:family w:val="auto"/>
    <w:pitch w:val="default"/>
    <w:sig w:usb0="00000001" w:usb1="080E0000" w:usb2="00000000" w:usb3="00000000" w:csb0="00040000" w:csb1="00000000"/>
    <w:embedRegular r:id="rId3" w:fontKey="{F50D9F8B-BC1F-4BA9-86EE-E375544675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AE5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61C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73564">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F073564">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1944A15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D159CE"/>
    <w:rsid w:val="01E51E07"/>
    <w:rsid w:val="01F94D3E"/>
    <w:rsid w:val="021D146B"/>
    <w:rsid w:val="02A80913"/>
    <w:rsid w:val="02BF77F6"/>
    <w:rsid w:val="02FC45A7"/>
    <w:rsid w:val="03AD5C2E"/>
    <w:rsid w:val="04021749"/>
    <w:rsid w:val="04566B35"/>
    <w:rsid w:val="057869E1"/>
    <w:rsid w:val="059D30B6"/>
    <w:rsid w:val="06104A21"/>
    <w:rsid w:val="06F15AA5"/>
    <w:rsid w:val="06F930B6"/>
    <w:rsid w:val="085A5FF7"/>
    <w:rsid w:val="09376339"/>
    <w:rsid w:val="0949606C"/>
    <w:rsid w:val="09DE0417"/>
    <w:rsid w:val="0A454A85"/>
    <w:rsid w:val="0B5940BE"/>
    <w:rsid w:val="0C3A33FD"/>
    <w:rsid w:val="0E6757EE"/>
    <w:rsid w:val="0F004A9B"/>
    <w:rsid w:val="0F27553F"/>
    <w:rsid w:val="0F791428"/>
    <w:rsid w:val="10EF3B6B"/>
    <w:rsid w:val="12AF5192"/>
    <w:rsid w:val="1360023A"/>
    <w:rsid w:val="144917C3"/>
    <w:rsid w:val="14D507B4"/>
    <w:rsid w:val="15716122"/>
    <w:rsid w:val="15F40C67"/>
    <w:rsid w:val="16013B94"/>
    <w:rsid w:val="17175B61"/>
    <w:rsid w:val="19BF6E53"/>
    <w:rsid w:val="19FB2945"/>
    <w:rsid w:val="1A1139B6"/>
    <w:rsid w:val="1B161797"/>
    <w:rsid w:val="1EB84FB4"/>
    <w:rsid w:val="1FE21974"/>
    <w:rsid w:val="22130EA0"/>
    <w:rsid w:val="23911ECE"/>
    <w:rsid w:val="23F8720B"/>
    <w:rsid w:val="24E56118"/>
    <w:rsid w:val="25203CCD"/>
    <w:rsid w:val="25846482"/>
    <w:rsid w:val="259020DD"/>
    <w:rsid w:val="25EB1F94"/>
    <w:rsid w:val="25FA2162"/>
    <w:rsid w:val="28163820"/>
    <w:rsid w:val="29226266"/>
    <w:rsid w:val="2A7331BD"/>
    <w:rsid w:val="2AA76515"/>
    <w:rsid w:val="2BCE666F"/>
    <w:rsid w:val="2BE179EB"/>
    <w:rsid w:val="2BF87ED1"/>
    <w:rsid w:val="2C0D6146"/>
    <w:rsid w:val="2CC12172"/>
    <w:rsid w:val="2D2057F2"/>
    <w:rsid w:val="2E4862BB"/>
    <w:rsid w:val="30F73708"/>
    <w:rsid w:val="310444A3"/>
    <w:rsid w:val="32382BF4"/>
    <w:rsid w:val="342F7C9D"/>
    <w:rsid w:val="34F51A33"/>
    <w:rsid w:val="376173AB"/>
    <w:rsid w:val="37B035DE"/>
    <w:rsid w:val="37E1553E"/>
    <w:rsid w:val="38C21BC7"/>
    <w:rsid w:val="3AC9229B"/>
    <w:rsid w:val="3BE61A23"/>
    <w:rsid w:val="3C1A7270"/>
    <w:rsid w:val="3D804EB1"/>
    <w:rsid w:val="3DC33DF0"/>
    <w:rsid w:val="3DCB6A74"/>
    <w:rsid w:val="3DCD7A37"/>
    <w:rsid w:val="3E930C7B"/>
    <w:rsid w:val="3E9760FA"/>
    <w:rsid w:val="40297A82"/>
    <w:rsid w:val="404F2B3D"/>
    <w:rsid w:val="409E1FAE"/>
    <w:rsid w:val="409F25A6"/>
    <w:rsid w:val="40B26F15"/>
    <w:rsid w:val="41CE016A"/>
    <w:rsid w:val="42A3719F"/>
    <w:rsid w:val="42F80DB2"/>
    <w:rsid w:val="43AD4526"/>
    <w:rsid w:val="44396802"/>
    <w:rsid w:val="444F192C"/>
    <w:rsid w:val="44E26451"/>
    <w:rsid w:val="44FC06F4"/>
    <w:rsid w:val="45282B95"/>
    <w:rsid w:val="45440D98"/>
    <w:rsid w:val="458435F4"/>
    <w:rsid w:val="45C937D0"/>
    <w:rsid w:val="460F619F"/>
    <w:rsid w:val="46BE746F"/>
    <w:rsid w:val="46E44703"/>
    <w:rsid w:val="47F839E2"/>
    <w:rsid w:val="49164ABC"/>
    <w:rsid w:val="49D0470F"/>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76C93"/>
    <w:rsid w:val="57BA4624"/>
    <w:rsid w:val="57BF3FA4"/>
    <w:rsid w:val="58555460"/>
    <w:rsid w:val="599E5578"/>
    <w:rsid w:val="5C07180B"/>
    <w:rsid w:val="5E2C6C63"/>
    <w:rsid w:val="60372166"/>
    <w:rsid w:val="608E4C5E"/>
    <w:rsid w:val="60D54EE6"/>
    <w:rsid w:val="60F17CF0"/>
    <w:rsid w:val="648A3373"/>
    <w:rsid w:val="65031DA0"/>
    <w:rsid w:val="65BB5819"/>
    <w:rsid w:val="685C7FB7"/>
    <w:rsid w:val="686B482C"/>
    <w:rsid w:val="688C217B"/>
    <w:rsid w:val="6C30758E"/>
    <w:rsid w:val="6CF07C20"/>
    <w:rsid w:val="6D0B0407"/>
    <w:rsid w:val="6DBF6C55"/>
    <w:rsid w:val="6DD357EF"/>
    <w:rsid w:val="6DD864C0"/>
    <w:rsid w:val="6F4A2780"/>
    <w:rsid w:val="70047B8B"/>
    <w:rsid w:val="71504C22"/>
    <w:rsid w:val="72C154D1"/>
    <w:rsid w:val="73AC5621"/>
    <w:rsid w:val="73AD7AA7"/>
    <w:rsid w:val="73B47087"/>
    <w:rsid w:val="73C76997"/>
    <w:rsid w:val="741B1AD7"/>
    <w:rsid w:val="751B597F"/>
    <w:rsid w:val="758D193E"/>
    <w:rsid w:val="75DD668E"/>
    <w:rsid w:val="765A5C5D"/>
    <w:rsid w:val="76813D0B"/>
    <w:rsid w:val="770025E3"/>
    <w:rsid w:val="78441ADC"/>
    <w:rsid w:val="788E0646"/>
    <w:rsid w:val="79351E88"/>
    <w:rsid w:val="79981D97"/>
    <w:rsid w:val="79ED50A1"/>
    <w:rsid w:val="7B9877B4"/>
    <w:rsid w:val="7D4A0A5C"/>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4665</Words>
  <Characters>4865</Characters>
  <Lines>0</Lines>
  <Paragraphs>0</Paragraphs>
  <TotalTime>0</TotalTime>
  <ScaleCrop>false</ScaleCrop>
  <LinksUpToDate>false</LinksUpToDate>
  <CharactersWithSpaces>5163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2026-07-21T00:32:20Z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A69A4A86A7AE4EF09FEBC2A511D7F6A5_13</vt:lpwstr>
  </property>
  <property fmtid="{D5CDD505-2E9C-101B-9397-08002B2CF9AE}" pid="4" name="KSOTemplateDocerSaveRecord">
    <vt:lpwstr>eyJoZGlkIjoiMTc5MzQxYzgyODFiMGZlMDQ5N2RmOWNjNmE4Y2I4MmIiLCJ1c2VySWQiOiI4NjU1Nzg4MTMifQ==</vt:lpwstr>
  </property>
</Properties>
</file>