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bCs/>
          <w:sz w:val="32"/>
          <w:szCs w:val="32"/>
          <w:highlight w:val="none"/>
          <w:lang w:val="en-US" w:eastAsia="zh-CN"/>
        </w:rPr>
      </w:pPr>
      <w:bookmarkStart w:id="0" w:name="_GoBack"/>
      <w:bookmarkEnd w:id="0"/>
      <w:r>
        <w:rPr>
          <w:rFonts w:hint="default" w:ascii="Times New Roman" w:hAnsi="Times New Roman" w:eastAsia="仿宋_GB2312" w:cs="Times New Roman"/>
          <w:sz w:val="32"/>
          <w:szCs w:val="32"/>
          <w:highlight w:val="none"/>
          <w:lang w:val="en-US" w:eastAsia="zh-CN"/>
        </w:rPr>
        <w:t>附件1：</w:t>
      </w:r>
    </w:p>
    <w:p w14:paraId="1B92B56B">
      <w:pPr>
        <w:pageBreakBefore w:val="0"/>
        <w:shd w:val="clear" w:color="auto" w:fill="auto"/>
        <w:kinsoku/>
        <w:wordWrap/>
        <w:overflowPunct/>
        <w:topLinePunct w:val="0"/>
        <w:bidi w:val="0"/>
        <w:spacing w:line="52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hint="default" w:ascii="Times New Roman" w:hAnsi="Times New Roman" w:eastAsia="仿宋_GB2312" w:cs="Times New Roman"/>
          <w:b/>
          <w:sz w:val="32"/>
          <w:szCs w:val="32"/>
          <w:highlight w:val="none"/>
        </w:rPr>
      </w:pPr>
    </w:p>
    <w:tbl>
      <w:tblPr>
        <w:tblStyle w:val="13"/>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eastAsia" w:ascii="Times New Roman" w:hAnsi="Times New Roman" w:eastAsia="仿宋_GB2312" w:cs="Times New Roman"/>
                <w:b/>
                <w:color w:val="000000"/>
                <w:kern w:val="0"/>
                <w:sz w:val="32"/>
                <w:szCs w:val="32"/>
                <w:highlight w:val="none"/>
                <w:lang w:val="en-US" w:eastAsia="zh-CN" w:bidi="ar"/>
              </w:rPr>
              <w:t>京广铁路以西区域供热管网提升改造项目二期工程防洪影响评价服务单位</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****元（含税）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3DBFEAA">
      <w:pPr>
        <w:pStyle w:val="5"/>
        <w:pageBreakBefore w:val="0"/>
        <w:kinsoku/>
        <w:wordWrap/>
        <w:overflowPunct/>
        <w:topLinePunct w:val="0"/>
        <w:bidi w:val="0"/>
        <w:spacing w:line="52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4303E2E8">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58B4DC21">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5A4471A">
      <w:pPr>
        <w:pageBreakBefore w:val="0"/>
        <w:kinsoku/>
        <w:wordWrap/>
        <w:overflowPunct/>
        <w:topLinePunct w:val="0"/>
        <w:bidi w:val="0"/>
        <w:spacing w:line="520" w:lineRule="exact"/>
        <w:rPr>
          <w:rFonts w:hint="default" w:ascii="Times New Roman" w:hAnsi="Times New Roman" w:eastAsia="仿宋_GB2312" w:cs="Times New Roman"/>
          <w:sz w:val="32"/>
          <w:szCs w:val="32"/>
          <w:highlight w:val="none"/>
          <w:lang w:val="en-US" w:eastAsia="zh-CN"/>
        </w:rPr>
      </w:pPr>
    </w:p>
    <w:p w14:paraId="2DDF1C21">
      <w:pPr>
        <w:rPr>
          <w:rFonts w:hint="default" w:ascii="Times New Roman" w:hAnsi="Times New Roman" w:eastAsia="方正小标宋简体" w:cs="Times New Roman"/>
          <w:b/>
          <w:sz w:val="44"/>
          <w:szCs w:val="44"/>
          <w:highlight w:val="none"/>
          <w:lang w:val="zh-CN"/>
        </w:rPr>
      </w:pPr>
      <w:r>
        <w:rPr>
          <w:rFonts w:hint="default" w:ascii="Times New Roman" w:hAnsi="Times New Roman" w:eastAsia="方正小标宋简体" w:cs="Times New Roman"/>
          <w:b/>
          <w:sz w:val="44"/>
          <w:szCs w:val="44"/>
          <w:highlight w:val="none"/>
          <w:lang w:val="zh-CN"/>
        </w:rPr>
        <w:br w:type="page"/>
      </w:r>
    </w:p>
    <w:p w14:paraId="50CE1C58">
      <w:pPr>
        <w:pStyle w:val="8"/>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sz w:val="44"/>
          <w:szCs w:val="44"/>
          <w:highlight w:val="none"/>
          <w:lang w:val="zh-CN"/>
        </w:rPr>
      </w:pPr>
    </w:p>
    <w:p w14:paraId="0B3EC263">
      <w:pPr>
        <w:pStyle w:val="8"/>
        <w:pageBreakBefore w:val="0"/>
        <w:kinsoku/>
        <w:wordWrap/>
        <w:overflowPunct/>
        <w:topLinePunct w:val="0"/>
        <w:bidi w:val="0"/>
        <w:spacing w:line="52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1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034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noWrap w:val="0"/>
            <w:vAlign w:val="center"/>
          </w:tcPr>
          <w:p w14:paraId="72FF09A9">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021DCF7A">
            <w:pPr>
              <w:pageBreakBefore w:val="0"/>
              <w:tabs>
                <w:tab w:val="left" w:pos="1260"/>
              </w:tabs>
              <w:kinsoku/>
              <w:wordWrap/>
              <w:overflowPunct/>
              <w:topLinePunct w:val="0"/>
              <w:autoSpaceDE w:val="0"/>
              <w:autoSpaceDN w:val="0"/>
              <w:bidi w:val="0"/>
              <w:adjustRightInd w:val="0"/>
              <w:snapToGrid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72DD9439">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企业报价</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3983187E">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u w:val="single"/>
                <w:lang w:val="zh-CN"/>
              </w:rPr>
            </w:pPr>
            <w:r>
              <w:rPr>
                <w:rFonts w:hint="eastAsia" w:ascii="Times New Roman" w:hAnsi="Times New Roman" w:eastAsia="仿宋_GB2312" w:cs="Times New Roman"/>
                <w:sz w:val="32"/>
                <w:szCs w:val="32"/>
                <w:highlight w:val="none"/>
                <w:lang w:val="en-US" w:eastAsia="zh-CN"/>
              </w:rPr>
              <w:t>企业业绩</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3DDD0FAC">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i w:val="0"/>
                <w:iCs w:val="0"/>
                <w:sz w:val="32"/>
                <w:szCs w:val="32"/>
                <w:highlight w:val="none"/>
                <w:u w:val="single"/>
                <w:lang w:val="en-US" w:eastAsia="zh-CN"/>
              </w:rPr>
              <w:t>30分</w:t>
            </w:r>
          </w:p>
          <w:p w14:paraId="4A4BBFCC">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ascii="Times New Roman" w:hAnsi="Times New Roman" w:cs="Times New Roman"/>
                <w:highlight w:val="none"/>
                <w:lang w:val="en-US"/>
              </w:rPr>
            </w:pPr>
            <w:r>
              <w:rPr>
                <w:rFonts w:hint="default" w:ascii="Times New Roman" w:hAnsi="Times New Roman" w:eastAsia="仿宋_GB2312" w:cs="Times New Roman"/>
                <w:sz w:val="32"/>
                <w:szCs w:val="32"/>
                <w:highlight w:val="none"/>
                <w:lang w:val="zh-CN" w:eastAsia="zh-CN"/>
              </w:rPr>
              <w:t>项目人员：</w:t>
            </w:r>
            <w:r>
              <w:rPr>
                <w:rFonts w:hint="default" w:ascii="Times New Roman" w:hAnsi="Times New Roman" w:eastAsia="仿宋_GB2312" w:cs="Times New Roman"/>
                <w:sz w:val="32"/>
                <w:szCs w:val="32"/>
                <w:highlight w:val="none"/>
                <w:u w:val="single"/>
                <w:lang w:val="en-US" w:eastAsia="zh-CN"/>
              </w:rPr>
              <w:t xml:space="preserve">10分 </w:t>
            </w:r>
          </w:p>
        </w:tc>
      </w:tr>
      <w:tr w14:paraId="5B6F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noWrap w:val="0"/>
            <w:tcMar>
              <w:top w:w="0" w:type="dxa"/>
              <w:left w:w="0" w:type="dxa"/>
              <w:bottom w:w="0" w:type="dxa"/>
              <w:right w:w="0" w:type="dxa"/>
            </w:tcMar>
            <w:vAlign w:val="center"/>
          </w:tcPr>
          <w:p w14:paraId="57293E4E">
            <w:pPr>
              <w:pageBreakBefore w:val="0"/>
              <w:kinsoku/>
              <w:wordWrap/>
              <w:overflowPunct/>
              <w:topLinePunct w:val="0"/>
              <w:bidi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评审项</w:t>
            </w:r>
          </w:p>
        </w:tc>
        <w:tc>
          <w:tcPr>
            <w:tcW w:w="6786" w:type="dxa"/>
            <w:noWrap w:val="0"/>
            <w:tcMar>
              <w:top w:w="0" w:type="dxa"/>
              <w:left w:w="0" w:type="dxa"/>
              <w:bottom w:w="0" w:type="dxa"/>
              <w:right w:w="0" w:type="dxa"/>
            </w:tcMar>
            <w:vAlign w:val="center"/>
          </w:tcPr>
          <w:p w14:paraId="6C694191">
            <w:pPr>
              <w:pageBreakBefore w:val="0"/>
              <w:kinsoku/>
              <w:wordWrap/>
              <w:overflowPunct/>
              <w:topLinePunct w:val="0"/>
              <w:bidi w:val="0"/>
              <w:spacing w:line="52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评标标准</w:t>
            </w:r>
          </w:p>
        </w:tc>
      </w:tr>
      <w:tr w14:paraId="14BC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noWrap w:val="0"/>
            <w:tcMar>
              <w:top w:w="0" w:type="dxa"/>
              <w:left w:w="0" w:type="dxa"/>
              <w:bottom w:w="0" w:type="dxa"/>
              <w:right w:w="0" w:type="dxa"/>
            </w:tcMar>
            <w:vAlign w:val="center"/>
          </w:tcPr>
          <w:p w14:paraId="64EEB47B">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4948C204">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eastAsia="zh-CN"/>
              </w:rPr>
              <w:t>投标报价得分=（基准价/</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lang w:val="zh-CN" w:eastAsia="zh-CN"/>
              </w:rPr>
              <w:t>报价）×</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zh-CN" w:eastAsia="zh-CN"/>
              </w:rPr>
              <w:t>分。满足招标文件要求的</w:t>
            </w:r>
            <w:r>
              <w:rPr>
                <w:rFonts w:hint="default" w:ascii="Times New Roman" w:hAnsi="Times New Roman" w:eastAsia="仿宋_GB2312" w:cs="Times New Roman"/>
                <w:sz w:val="32"/>
                <w:szCs w:val="32"/>
                <w:highlight w:val="none"/>
                <w:lang w:val="en-US" w:eastAsia="zh-CN"/>
              </w:rPr>
              <w:t>所</w:t>
            </w:r>
            <w:r>
              <w:rPr>
                <w:rFonts w:hint="default" w:ascii="Times New Roman" w:hAnsi="Times New Roman" w:eastAsia="仿宋_GB2312" w:cs="Times New Roman"/>
                <w:sz w:val="32"/>
                <w:szCs w:val="32"/>
                <w:highlight w:val="none"/>
                <w:lang w:val="zh-CN" w:eastAsia="zh-CN"/>
              </w:rPr>
              <w:t>有</w:t>
            </w:r>
            <w:r>
              <w:rPr>
                <w:rFonts w:hint="default" w:ascii="Times New Roman" w:hAnsi="Times New Roman" w:eastAsia="仿宋_GB2312" w:cs="Times New Roman"/>
                <w:sz w:val="32"/>
                <w:szCs w:val="32"/>
                <w:highlight w:val="none"/>
                <w:lang w:val="en-US" w:eastAsia="zh-CN"/>
              </w:rPr>
              <w:t>有</w:t>
            </w:r>
            <w:r>
              <w:rPr>
                <w:rFonts w:hint="default" w:ascii="Times New Roman" w:hAnsi="Times New Roman" w:eastAsia="仿宋_GB2312" w:cs="Times New Roman"/>
                <w:sz w:val="32"/>
                <w:szCs w:val="32"/>
                <w:highlight w:val="none"/>
                <w:lang w:val="zh-CN" w:eastAsia="zh-CN"/>
              </w:rPr>
              <w:t>效投标报价中，最低的投标报价为评标基准价。</w:t>
            </w:r>
          </w:p>
        </w:tc>
      </w:tr>
      <w:tr w14:paraId="5A2F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noWrap w:val="0"/>
            <w:tcMar>
              <w:top w:w="0" w:type="dxa"/>
              <w:left w:w="0" w:type="dxa"/>
              <w:bottom w:w="0" w:type="dxa"/>
              <w:right w:w="0" w:type="dxa"/>
            </w:tcMar>
            <w:vAlign w:val="center"/>
          </w:tcPr>
          <w:p w14:paraId="61DEBE22">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业绩（</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344FDADF">
            <w:pPr>
              <w:keepNext w:val="0"/>
              <w:keepLines w:val="0"/>
              <w:pageBreakBefore w:val="0"/>
              <w:widowControl/>
              <w:numPr>
                <w:ilvl w:val="0"/>
                <w:numId w:val="0"/>
              </w:numPr>
              <w:kinsoku/>
              <w:wordWrap/>
              <w:overflowPunct/>
              <w:topLinePunct w:val="0"/>
              <w:autoSpaceDE/>
              <w:autoSpaceDN/>
              <w:bidi w:val="0"/>
              <w:adjustRightInd w:val="0"/>
              <w:snapToGrid w:val="0"/>
              <w:spacing w:line="470" w:lineRule="exact"/>
              <w:ind w:left="0" w:leftChars="0" w:firstLine="640" w:firstLineChars="200"/>
              <w:jc w:val="both"/>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每提供一项企业202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年1月1日</w:t>
            </w:r>
            <w:r>
              <w:rPr>
                <w:rFonts w:hint="eastAsia" w:ascii="Times New Roman" w:hAnsi="Times New Roman" w:eastAsia="仿宋_GB2312" w:cs="Times New Roman"/>
                <w:sz w:val="32"/>
                <w:szCs w:val="32"/>
                <w:highlight w:val="none"/>
                <w:lang w:val="en-US" w:eastAsia="zh-CN"/>
              </w:rPr>
              <w:t>（日期以合同签订时间为准，需附合同复印件并加盖公章）</w:t>
            </w:r>
            <w:r>
              <w:rPr>
                <w:rFonts w:hint="default" w:ascii="Times New Roman" w:hAnsi="Times New Roman" w:eastAsia="仿宋_GB2312" w:cs="Times New Roman"/>
                <w:sz w:val="32"/>
                <w:szCs w:val="32"/>
                <w:highlight w:val="none"/>
                <w:lang w:val="en-US" w:eastAsia="zh-CN"/>
              </w:rPr>
              <w:t>以来签订的防洪影响评价报告编制合同及相应批复文件得5分，本项最高得30分。</w:t>
            </w:r>
          </w:p>
        </w:tc>
      </w:tr>
      <w:tr w14:paraId="55C2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noWrap w:val="0"/>
            <w:tcMar>
              <w:top w:w="0" w:type="dxa"/>
              <w:left w:w="0" w:type="dxa"/>
              <w:bottom w:w="0" w:type="dxa"/>
              <w:right w:w="0" w:type="dxa"/>
            </w:tcMar>
            <w:vAlign w:val="center"/>
          </w:tcPr>
          <w:p w14:paraId="619EE04E">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服务方案（30分）</w:t>
            </w:r>
          </w:p>
        </w:tc>
        <w:tc>
          <w:tcPr>
            <w:tcW w:w="6786" w:type="dxa"/>
            <w:noWrap w:val="0"/>
            <w:tcMar>
              <w:top w:w="0" w:type="dxa"/>
              <w:left w:w="0" w:type="dxa"/>
              <w:bottom w:w="0" w:type="dxa"/>
              <w:right w:w="0" w:type="dxa"/>
            </w:tcMar>
            <w:vAlign w:val="center"/>
          </w:tcPr>
          <w:p w14:paraId="2790ECD3">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工作方案（10分）：对本项目理解深入、重点突出、工作方案思路清晰、可行，能够保证报告编制工作按时保质、保量完成。优秀6-10分；良好1-5分；没有不得分。</w:t>
            </w:r>
          </w:p>
          <w:p w14:paraId="111A0D35">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报告编制质量及进度保障措施（10分）：是否制定完善的质量控制方案和程序、执行标准；对项目实施关键节点把握准确，能够严格按计划完成相关工作，能够根据比选人的进度安排报告交付时间。优秀6-10分；良好1-5分；没有不得分。</w:t>
            </w:r>
          </w:p>
          <w:p w14:paraId="265B3DA1">
            <w:pPr>
              <w:keepNext w:val="0"/>
              <w:keepLines w:val="0"/>
              <w:pageBreakBefore w:val="0"/>
              <w:widowControl/>
              <w:numPr>
                <w:ilvl w:val="0"/>
                <w:numId w:val="0"/>
              </w:numPr>
              <w:kinsoku/>
              <w:wordWrap/>
              <w:overflowPunct/>
              <w:topLinePunct w:val="0"/>
              <w:autoSpaceDE/>
              <w:autoSpaceDN/>
              <w:bidi w:val="0"/>
              <w:adjustRightInd w:val="0"/>
              <w:snapToGrid w:val="0"/>
              <w:spacing w:line="470" w:lineRule="exact"/>
              <w:ind w:left="0" w:leftChars="0" w:firstLine="64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重点难点分析（10分）。对项目进行重点难点分析并制定相应措施，配合后期整体项目实施的分析，描述科学、针对性强、合理。优秀6-10分；良好1-5分；没有不得分。</w:t>
            </w:r>
          </w:p>
        </w:tc>
      </w:tr>
      <w:tr w14:paraId="07AB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noWrap w:val="0"/>
            <w:tcMar>
              <w:top w:w="0" w:type="dxa"/>
              <w:left w:w="0" w:type="dxa"/>
              <w:bottom w:w="0" w:type="dxa"/>
              <w:right w:w="0" w:type="dxa"/>
            </w:tcMar>
            <w:vAlign w:val="center"/>
          </w:tcPr>
          <w:p w14:paraId="17EFE5B1">
            <w:pPr>
              <w:pageBreakBefore w:val="0"/>
              <w:kinsoku/>
              <w:wordWrap/>
              <w:overflowPunct/>
              <w:topLinePunct w:val="0"/>
              <w:bidi w:val="0"/>
              <w:adjustRightInd w:val="0"/>
              <w:snapToGrid w:val="0"/>
              <w:spacing w:line="52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项目人员（10分）</w:t>
            </w:r>
          </w:p>
        </w:tc>
        <w:tc>
          <w:tcPr>
            <w:tcW w:w="6786" w:type="dxa"/>
            <w:noWrap w:val="0"/>
            <w:tcMar>
              <w:top w:w="0" w:type="dxa"/>
              <w:left w:w="0" w:type="dxa"/>
              <w:bottom w:w="0" w:type="dxa"/>
              <w:right w:w="0" w:type="dxa"/>
            </w:tcMar>
            <w:vAlign w:val="center"/>
          </w:tcPr>
          <w:p w14:paraId="3794FFB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4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项目负责人具有</w:t>
            </w:r>
            <w:r>
              <w:rPr>
                <w:rFonts w:hint="eastAsia" w:ascii="Times New Roman" w:hAnsi="Times New Roman" w:eastAsia="仿宋_GB2312" w:cs="Times New Roman"/>
                <w:color w:val="auto"/>
                <w:kern w:val="2"/>
                <w:sz w:val="32"/>
                <w:szCs w:val="32"/>
                <w:highlight w:val="none"/>
                <w:lang w:val="en-US" w:eastAsia="zh-CN" w:bidi="ar-SA"/>
              </w:rPr>
              <w:t>工程类</w:t>
            </w:r>
            <w:r>
              <w:rPr>
                <w:rFonts w:hint="default" w:ascii="Times New Roman" w:hAnsi="Times New Roman" w:eastAsia="仿宋_GB2312" w:cs="Times New Roman"/>
                <w:color w:val="auto"/>
                <w:kern w:val="2"/>
                <w:sz w:val="32"/>
                <w:szCs w:val="32"/>
                <w:highlight w:val="none"/>
                <w:lang w:val="en-US" w:eastAsia="zh-CN" w:bidi="ar-SA"/>
              </w:rPr>
              <w:t>中级职称的得3分</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具有</w:t>
            </w:r>
            <w:r>
              <w:rPr>
                <w:rFonts w:hint="eastAsia" w:ascii="Times New Roman" w:hAnsi="Times New Roman" w:eastAsia="仿宋_GB2312" w:cs="Times New Roman"/>
                <w:color w:val="auto"/>
                <w:kern w:val="2"/>
                <w:sz w:val="32"/>
                <w:szCs w:val="32"/>
                <w:highlight w:val="none"/>
                <w:lang w:val="en-US" w:eastAsia="zh-CN" w:bidi="ar-SA"/>
              </w:rPr>
              <w:t>工程类</w:t>
            </w:r>
            <w:r>
              <w:rPr>
                <w:rFonts w:hint="default" w:ascii="Times New Roman" w:hAnsi="Times New Roman" w:eastAsia="仿宋_GB2312" w:cs="Times New Roman"/>
                <w:color w:val="auto"/>
                <w:kern w:val="2"/>
                <w:sz w:val="32"/>
                <w:szCs w:val="32"/>
                <w:highlight w:val="none"/>
                <w:lang w:val="en-US" w:eastAsia="zh-CN" w:bidi="ar-SA"/>
              </w:rPr>
              <w:t>高级职称的得7分；</w:t>
            </w:r>
          </w:p>
          <w:p w14:paraId="79783EE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4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项目组人员中除项目负责人外，其他人员具有中级（含）以上职称得3分。</w:t>
            </w:r>
          </w:p>
          <w:p w14:paraId="002FF883">
            <w:pPr>
              <w:pageBreakBefore w:val="0"/>
              <w:widowControl/>
              <w:numPr>
                <w:ilvl w:val="0"/>
                <w:numId w:val="0"/>
              </w:numPr>
              <w:kinsoku/>
              <w:wordWrap/>
              <w:overflowPunct/>
              <w:topLinePunct w:val="0"/>
              <w:bidi w:val="0"/>
              <w:adjustRightInd w:val="0"/>
              <w:snapToGrid w:val="0"/>
              <w:spacing w:line="520" w:lineRule="exact"/>
              <w:ind w:left="0" w:leftChars="0" w:firstLine="0" w:firstLineChars="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（需提供投标人员劳动合同</w:t>
            </w:r>
            <w:r>
              <w:rPr>
                <w:rFonts w:hint="eastAsia" w:ascii="Times New Roman" w:hAnsi="Times New Roman" w:eastAsia="仿宋_GB2312" w:cs="Times New Roman"/>
                <w:color w:val="auto"/>
                <w:sz w:val="32"/>
                <w:szCs w:val="32"/>
                <w:highlight w:val="none"/>
                <w:lang w:val="en-US" w:eastAsia="zh-CN"/>
              </w:rPr>
              <w:t>、近半年社保证明</w:t>
            </w:r>
            <w:r>
              <w:rPr>
                <w:rFonts w:hint="default" w:ascii="Times New Roman" w:hAnsi="Times New Roman" w:eastAsia="仿宋_GB2312" w:cs="Times New Roman"/>
                <w:color w:val="auto"/>
                <w:sz w:val="32"/>
                <w:szCs w:val="32"/>
                <w:highlight w:val="none"/>
                <w:lang w:val="en-US" w:eastAsia="zh-CN"/>
              </w:rPr>
              <w:t>及证书等证明材料）</w:t>
            </w: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如最高得分为两家或两家以上时，由采购人组成的磋商小组进行磋商确定。</w:t>
      </w:r>
    </w:p>
    <w:p w14:paraId="1F651DBA">
      <w:pPr>
        <w:pStyle w:val="4"/>
        <w:pageBreakBefore w:val="0"/>
        <w:numPr>
          <w:ilvl w:val="0"/>
          <w:numId w:val="0"/>
        </w:numPr>
        <w:kinsoku/>
        <w:wordWrap/>
        <w:overflowPunct/>
        <w:topLinePunct w:val="0"/>
        <w:bidi w:val="0"/>
        <w:spacing w:line="520" w:lineRule="exact"/>
        <w:ind w:leftChars="0"/>
        <w:jc w:val="both"/>
        <w:rPr>
          <w:rFonts w:hint="default" w:ascii="Times New Roman" w:hAnsi="Times New Roman" w:cs="Times New Roman"/>
          <w:highlight w:val="none"/>
          <w:lang w:val="en-US" w:eastAsia="zh-CN"/>
        </w:rPr>
      </w:pPr>
    </w:p>
    <w:p w14:paraId="76DA6D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4418B7A6">
      <w:pPr>
        <w:pStyle w:val="2"/>
        <w:rPr>
          <w:rFonts w:hint="default" w:ascii="Times New Roman" w:hAnsi="Times New Roman" w:eastAsia="仿宋_GB2312" w:cs="Times New Roman"/>
          <w:sz w:val="32"/>
          <w:szCs w:val="32"/>
          <w:highlight w:val="none"/>
          <w:lang w:val="en-US" w:eastAsia="zh-CN"/>
        </w:rPr>
      </w:pPr>
    </w:p>
    <w:p w14:paraId="3AF2D83E">
      <w:pPr>
        <w:pStyle w:val="3"/>
        <w:rPr>
          <w:rFonts w:hint="default" w:ascii="Times New Roman" w:hAnsi="Times New Roman" w:eastAsia="仿宋_GB2312" w:cs="Times New Roman"/>
          <w:sz w:val="32"/>
          <w:szCs w:val="32"/>
          <w:highlight w:val="none"/>
          <w:lang w:val="en-US" w:eastAsia="zh-CN"/>
        </w:rPr>
      </w:pPr>
    </w:p>
    <w:p w14:paraId="452E0D9D">
      <w:pPr>
        <w:pStyle w:val="3"/>
        <w:rPr>
          <w:rFonts w:hint="default" w:ascii="Times New Roman" w:hAnsi="Times New Roman" w:eastAsia="仿宋_GB2312" w:cs="Times New Roman"/>
          <w:sz w:val="32"/>
          <w:szCs w:val="32"/>
          <w:highlight w:val="none"/>
          <w:lang w:val="en-US" w:eastAsia="zh-CN"/>
        </w:rPr>
      </w:pPr>
    </w:p>
    <w:p w14:paraId="5481096F">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2E8C915F">
      <w:pPr>
        <w:pStyle w:val="12"/>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FE68D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9F5D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477B23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F63C4FF">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66F5FC5">
      <w:pPr>
        <w:ind w:firstLine="6400" w:firstLineChars="2000"/>
        <w:rPr>
          <w:rFonts w:hint="eastAsia" w:ascii="仿宋_GB2312" w:hAnsi="仿宋_GB2312" w:eastAsia="仿宋_GB2312" w:cs="仿宋_GB2312"/>
          <w:sz w:val="32"/>
          <w:szCs w:val="32"/>
        </w:rPr>
      </w:pPr>
    </w:p>
    <w:p w14:paraId="53249F0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22375C1">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27AC073E">
      <w:pPr>
        <w:pStyle w:val="2"/>
        <w:rPr>
          <w:rFonts w:hint="default"/>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EA506"/>
    <w:multiLevelType w:val="multilevel"/>
    <w:tmpl w:val="4E9EA506"/>
    <w:lvl w:ilvl="0" w:tentative="0">
      <w:start w:val="1"/>
      <w:numFmt w:val="chineseCounting"/>
      <w:pStyle w:val="4"/>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1289406A"/>
    <w:rsid w:val="0759622A"/>
    <w:rsid w:val="08150446"/>
    <w:rsid w:val="092B3F6C"/>
    <w:rsid w:val="0AD72553"/>
    <w:rsid w:val="0BBA05E1"/>
    <w:rsid w:val="1289406A"/>
    <w:rsid w:val="164953A2"/>
    <w:rsid w:val="1BDD6EE9"/>
    <w:rsid w:val="22682FB8"/>
    <w:rsid w:val="2389558B"/>
    <w:rsid w:val="253B5191"/>
    <w:rsid w:val="2632693A"/>
    <w:rsid w:val="275D1006"/>
    <w:rsid w:val="28A1559D"/>
    <w:rsid w:val="2A2651C8"/>
    <w:rsid w:val="2C01620C"/>
    <w:rsid w:val="2CDE24A4"/>
    <w:rsid w:val="2CFD2151"/>
    <w:rsid w:val="2D4F137E"/>
    <w:rsid w:val="34B322BA"/>
    <w:rsid w:val="3AE47B4E"/>
    <w:rsid w:val="3B5149FE"/>
    <w:rsid w:val="456C320E"/>
    <w:rsid w:val="52441102"/>
    <w:rsid w:val="59827FC3"/>
    <w:rsid w:val="5A1571AD"/>
    <w:rsid w:val="5ED658B5"/>
    <w:rsid w:val="5F9A7BFD"/>
    <w:rsid w:val="64B82739"/>
    <w:rsid w:val="64C3134C"/>
    <w:rsid w:val="65DA3150"/>
    <w:rsid w:val="6A7A2B04"/>
    <w:rsid w:val="6C2E449C"/>
    <w:rsid w:val="6E2613DD"/>
    <w:rsid w:val="700C1760"/>
    <w:rsid w:val="74A842FB"/>
    <w:rsid w:val="75A50F0A"/>
    <w:rsid w:val="77852CA6"/>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5">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8"/>
      <w:szCs w:val="28"/>
      <w:lang w:val="en-US" w:eastAsia="en-US" w:bidi="ar-SA"/>
    </w:rPr>
  </w:style>
  <w:style w:type="paragraph" w:styleId="3">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autoRedefine/>
    <w:qFormat/>
    <w:uiPriority w:val="0"/>
    <w:rPr>
      <w:sz w:val="24"/>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next w:val="12"/>
    <w:qFormat/>
    <w:uiPriority w:val="0"/>
    <w:pPr>
      <w:ind w:firstLine="420" w:firstLineChars="100"/>
    </w:pPr>
    <w:rPr>
      <w:rFonts w:ascii="宋体" w:hAnsi="Times New Roman" w:eastAsia="宋体" w:cs="Times New Roman"/>
      <w:kern w:val="0"/>
      <w:sz w:val="34"/>
      <w:szCs w:val="20"/>
    </w:rPr>
  </w:style>
  <w:style w:type="paragraph" w:styleId="12">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Body Text First Indent"/>
    <w:basedOn w:val="2"/>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1122</Words>
  <Characters>1169</Characters>
  <Lines>0</Lines>
  <Paragraphs>0</Paragraphs>
  <TotalTime>0</TotalTime>
  <ScaleCrop>false</ScaleCrop>
  <LinksUpToDate>false</LinksUpToDate>
  <CharactersWithSpaces>1192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WPS_1658882146</cp:lastModifiedBy>
  <cp:lastPrinted>2024-07-31T07:49:00Z</cp:lastPrinted>
  <dcterms:modified xsi:type="dcterms:W3CDTF">2026-07-21T00:42:28Z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8A0559A7E2EC42ACABBB11E3446BE517_13</vt:lpwstr>
  </property>
  <property fmtid="{D5CDD505-2E9C-101B-9397-08002B2CF9AE}" pid="4" name="KSOTemplateDocerSaveRecord">
    <vt:lpwstr>eyJoZGlkIjoiZjM0NTAwZDYxN2E5ZjM4YmZkODg5ZjRkYmJhZDQyM2MiLCJ1c2VySWQiOiIxNzgzNTMyOTI2In0=</vt:lpwstr>
  </property>
</Properties>
</file>