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287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附件1：</w:t>
      </w:r>
    </w:p>
    <w:p w14:paraId="1B92B56B">
      <w:pPr>
        <w:pageBreakBefore w:val="0"/>
        <w:shd w:val="clear" w:color="auto" w:fill="auto"/>
        <w:kinsoku/>
        <w:wordWrap/>
        <w:overflowPunct/>
        <w:topLinePunct w:val="0"/>
        <w:bidi w:val="0"/>
        <w:spacing w:line="52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报价单</w:t>
      </w:r>
    </w:p>
    <w:p w14:paraId="3DBC6FA1">
      <w:pPr>
        <w:pageBreakBefore w:val="0"/>
        <w:shd w:val="clear" w:color="auto" w:fill="auto"/>
        <w:kinsoku/>
        <w:wordWrap/>
        <w:overflowPunct/>
        <w:topLinePunct w:val="0"/>
        <w:bidi w:val="0"/>
        <w:spacing w:line="520" w:lineRule="exact"/>
        <w:jc w:val="center"/>
        <w:rPr>
          <w:rFonts w:hint="default" w:ascii="Times New Roman" w:hAnsi="Times New Roman" w:eastAsia="仿宋_GB2312" w:cs="Times New Roman"/>
          <w:b/>
          <w:sz w:val="32"/>
          <w:szCs w:val="32"/>
          <w:highlight w:val="none"/>
        </w:rPr>
      </w:pPr>
    </w:p>
    <w:tbl>
      <w:tblPr>
        <w:tblStyle w:val="13"/>
        <w:tblW w:w="8683" w:type="dxa"/>
        <w:tblInd w:w="0" w:type="dxa"/>
        <w:tblLayout w:type="fixed"/>
        <w:tblCellMar>
          <w:top w:w="15" w:type="dxa"/>
          <w:left w:w="15" w:type="dxa"/>
          <w:bottom w:w="15" w:type="dxa"/>
          <w:right w:w="15" w:type="dxa"/>
        </w:tblCellMar>
      </w:tblPr>
      <w:tblGrid>
        <w:gridCol w:w="3134"/>
        <w:gridCol w:w="5549"/>
      </w:tblGrid>
      <w:tr w14:paraId="7E77F60B">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39C478A9">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项目名称</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4E04DF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eastAsia" w:ascii="Times New Roman" w:hAnsi="Times New Roman" w:eastAsia="仿宋_GB2312" w:cs="Times New Roman"/>
                <w:b/>
                <w:color w:val="000000"/>
                <w:kern w:val="0"/>
                <w:sz w:val="32"/>
                <w:szCs w:val="32"/>
                <w:highlight w:val="none"/>
                <w:lang w:val="en-US" w:eastAsia="zh-CN" w:bidi="ar"/>
              </w:rPr>
              <w:t>京广铁路以西区域供热管网提升改造项目一期工程防洪影响评价服务单位</w:t>
            </w:r>
          </w:p>
        </w:tc>
      </w:tr>
      <w:tr w14:paraId="60C9F45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noWrap w:val="0"/>
            <w:vAlign w:val="center"/>
          </w:tcPr>
          <w:p w14:paraId="7383B04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申请人</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C6523A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346FD20F">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057D4ED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项目负责人（职务）</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EADEEB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p>
        </w:tc>
      </w:tr>
      <w:tr w14:paraId="7CC30AD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5FD9F1EB">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default" w:ascii="Times New Roman" w:hAnsi="Times New Roman" w:eastAsia="仿宋_GB2312" w:cs="Times New Roman"/>
                <w:b/>
                <w:color w:val="000000"/>
                <w:kern w:val="0"/>
                <w:sz w:val="32"/>
                <w:szCs w:val="32"/>
                <w:highlight w:val="none"/>
                <w:lang w:val="en-US" w:eastAsia="zh-CN" w:bidi="ar"/>
              </w:rPr>
              <w:t>项目工作内容</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679C15C">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p w14:paraId="17724952">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4CADABA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6745F56F">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报价</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11F3834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 xml:space="preserve">     </w:t>
            </w:r>
            <w:r>
              <w:rPr>
                <w:rFonts w:hint="default" w:ascii="Times New Roman" w:hAnsi="Times New Roman" w:eastAsia="仿宋_GB2312" w:cs="Times New Roman"/>
                <w:sz w:val="32"/>
                <w:szCs w:val="32"/>
                <w:highlight w:val="none"/>
                <w:lang w:val="en-US" w:eastAsia="zh-CN"/>
              </w:rPr>
              <w:t>****元（含税）</w:t>
            </w:r>
          </w:p>
        </w:tc>
      </w:tr>
    </w:tbl>
    <w:p w14:paraId="061F4F82">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3B3E51B3">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43DBFEAA">
      <w:pPr>
        <w:pStyle w:val="5"/>
        <w:pageBreakBefore w:val="0"/>
        <w:kinsoku/>
        <w:wordWrap/>
        <w:overflowPunct/>
        <w:topLinePunct w:val="0"/>
        <w:bidi w:val="0"/>
        <w:spacing w:line="520" w:lineRule="exact"/>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4303E2E8">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58B4DC21">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5A4471A">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DDF1C21">
      <w:pPr>
        <w:rPr>
          <w:rFonts w:hint="default" w:ascii="Times New Roman" w:hAnsi="Times New Roman" w:eastAsia="方正小标宋简体" w:cs="Times New Roman"/>
          <w:b/>
          <w:sz w:val="44"/>
          <w:szCs w:val="44"/>
          <w:highlight w:val="none"/>
          <w:lang w:val="zh-CN"/>
        </w:rPr>
      </w:pPr>
      <w:r>
        <w:rPr>
          <w:rFonts w:hint="default" w:ascii="Times New Roman" w:hAnsi="Times New Roman" w:eastAsia="方正小标宋简体" w:cs="Times New Roman"/>
          <w:b/>
          <w:sz w:val="44"/>
          <w:szCs w:val="44"/>
          <w:highlight w:val="none"/>
          <w:lang w:val="zh-CN"/>
        </w:rPr>
        <w:br w:type="page"/>
      </w:r>
    </w:p>
    <w:p w14:paraId="50CE1C58">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sz w:val="44"/>
          <w:szCs w:val="44"/>
          <w:highlight w:val="none"/>
          <w:lang w:val="zh-CN"/>
        </w:rPr>
      </w:pPr>
    </w:p>
    <w:p w14:paraId="0B3EC263">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val="0"/>
          <w:bCs/>
          <w:sz w:val="44"/>
          <w:szCs w:val="44"/>
          <w:highlight w:val="none"/>
          <w:lang w:val="zh-CN"/>
        </w:rPr>
      </w:pPr>
      <w:r>
        <w:rPr>
          <w:rFonts w:hint="default" w:ascii="Times New Roman" w:hAnsi="Times New Roman" w:eastAsia="方正小标宋简体" w:cs="Times New Roman"/>
          <w:b w:val="0"/>
          <w:bCs/>
          <w:sz w:val="44"/>
          <w:szCs w:val="44"/>
          <w:highlight w:val="none"/>
          <w:lang w:val="zh-CN"/>
        </w:rPr>
        <w:t>评标标准</w:t>
      </w:r>
    </w:p>
    <w:p w14:paraId="18BB29A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一、资格审查</w:t>
      </w:r>
    </w:p>
    <w:p w14:paraId="13849D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FF0000"/>
          <w:sz w:val="32"/>
          <w:szCs w:val="32"/>
          <w:highlight w:val="none"/>
          <w:lang w:val="zh-CN" w:eastAsia="zh-CN"/>
        </w:rPr>
      </w:pPr>
      <w:r>
        <w:rPr>
          <w:rFonts w:hint="default" w:ascii="Times New Roman" w:hAnsi="Times New Roman" w:eastAsia="仿宋_GB2312" w:cs="Times New Roman"/>
          <w:sz w:val="32"/>
          <w:szCs w:val="32"/>
          <w:highlight w:val="none"/>
          <w:lang w:eastAsia="zh-CN"/>
        </w:rPr>
        <w:t>评审小组对</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eastAsia="zh-CN"/>
        </w:rPr>
        <w:t>人资格进行检查。</w:t>
      </w:r>
      <w:r>
        <w:rPr>
          <w:rFonts w:hint="default" w:ascii="Times New Roman" w:hAnsi="Times New Roman" w:eastAsia="仿宋_GB2312" w:cs="Times New Roman"/>
          <w:sz w:val="32"/>
          <w:szCs w:val="32"/>
          <w:highlight w:val="none"/>
          <w:lang w:val="zh-CN" w:eastAsia="zh-CN"/>
        </w:rPr>
        <w:t>确定符合资格的</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val="zh-CN" w:eastAsia="zh-CN"/>
        </w:rPr>
        <w:t>人不少于3</w:t>
      </w:r>
      <w:r>
        <w:rPr>
          <w:rFonts w:hint="default" w:ascii="Times New Roman" w:hAnsi="Times New Roman" w:eastAsia="仿宋_GB2312" w:cs="Times New Roman"/>
          <w:color w:val="auto"/>
          <w:sz w:val="32"/>
          <w:szCs w:val="32"/>
          <w:highlight w:val="none"/>
          <w:lang w:val="zh-CN" w:eastAsia="zh-CN"/>
        </w:rPr>
        <w:t>家后对投标文件进行符合性审查，</w:t>
      </w:r>
      <w:r>
        <w:rPr>
          <w:rFonts w:hint="default" w:ascii="Times New Roman" w:hAnsi="Times New Roman" w:eastAsia="仿宋_GB2312" w:cs="Times New Roman"/>
          <w:color w:val="auto"/>
          <w:sz w:val="32"/>
          <w:szCs w:val="32"/>
          <w:highlight w:val="none"/>
          <w:lang w:val="en-US" w:eastAsia="zh-CN"/>
        </w:rPr>
        <w:t>少于三家则本次评标过程无效</w:t>
      </w:r>
      <w:r>
        <w:rPr>
          <w:rFonts w:hint="default" w:ascii="Times New Roman" w:hAnsi="Times New Roman" w:eastAsia="仿宋_GB2312" w:cs="Times New Roman"/>
          <w:color w:val="auto"/>
          <w:sz w:val="32"/>
          <w:szCs w:val="32"/>
          <w:highlight w:val="none"/>
          <w:lang w:val="zh-CN" w:eastAsia="zh-CN"/>
        </w:rPr>
        <w:t>。</w:t>
      </w:r>
    </w:p>
    <w:p w14:paraId="7BF025A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二、评审</w:t>
      </w:r>
    </w:p>
    <w:p w14:paraId="289B4C2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（一）评审方法</w:t>
      </w:r>
    </w:p>
    <w:p w14:paraId="5273775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本项目采用综合评分法。总分为 100 分。</w:t>
      </w:r>
    </w:p>
    <w:p w14:paraId="67AECD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highlight w:val="none"/>
          <w:lang w:val="zh-CN" w:eastAsia="zh-CN"/>
        </w:rPr>
      </w:pPr>
      <w:r>
        <w:rPr>
          <w:rFonts w:hint="default" w:ascii="Times New Roman" w:hAnsi="Times New Roman" w:eastAsia="仿宋_GB2312" w:cs="Times New Roman"/>
          <w:b/>
          <w:bCs/>
          <w:color w:val="auto"/>
          <w:sz w:val="32"/>
          <w:szCs w:val="32"/>
          <w:highlight w:val="none"/>
          <w:lang w:val="zh-CN" w:eastAsia="zh-CN"/>
        </w:rPr>
        <w:t>（二）评分办法</w:t>
      </w:r>
    </w:p>
    <w:tbl>
      <w:tblPr>
        <w:tblStyle w:val="1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6786"/>
      </w:tblGrid>
      <w:tr w14:paraId="0349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913" w:type="dxa"/>
            <w:noWrap w:val="0"/>
            <w:vAlign w:val="center"/>
          </w:tcPr>
          <w:p w14:paraId="72FF09A9">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分值构成</w:t>
            </w:r>
          </w:p>
          <w:p w14:paraId="021DCF7A">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(总分100分)</w:t>
            </w:r>
          </w:p>
        </w:tc>
        <w:tc>
          <w:tcPr>
            <w:tcW w:w="6786" w:type="dxa"/>
            <w:noWrap w:val="0"/>
            <w:vAlign w:val="center"/>
          </w:tcPr>
          <w:p w14:paraId="72DD9439">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zh-CN"/>
              </w:rPr>
            </w:pPr>
            <w:r>
              <w:rPr>
                <w:rFonts w:hint="eastAsia" w:ascii="Times New Roman" w:hAnsi="Times New Roman" w:eastAsia="仿宋_GB2312" w:cs="Times New Roman"/>
                <w:sz w:val="32"/>
                <w:szCs w:val="32"/>
                <w:highlight w:val="none"/>
                <w:lang w:val="en-US" w:eastAsia="zh-CN"/>
              </w:rPr>
              <w:t>企业报价</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983187E">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u w:val="single"/>
                <w:lang w:val="zh-CN"/>
              </w:rPr>
            </w:pPr>
            <w:r>
              <w:rPr>
                <w:rFonts w:hint="eastAsia" w:ascii="Times New Roman" w:hAnsi="Times New Roman" w:eastAsia="仿宋_GB2312" w:cs="Times New Roman"/>
                <w:sz w:val="32"/>
                <w:szCs w:val="32"/>
                <w:highlight w:val="none"/>
                <w:lang w:val="en-US" w:eastAsia="zh-CN"/>
              </w:rPr>
              <w:t>企业业绩</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DDD0FA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服务方案</w:t>
            </w:r>
            <w:r>
              <w:rPr>
                <w:rFonts w:hint="default" w:ascii="Times New Roman" w:hAnsi="Times New Roman" w:eastAsia="仿宋_GB2312" w:cs="Times New Roman"/>
                <w:sz w:val="32"/>
                <w:szCs w:val="32"/>
                <w:highlight w:val="none"/>
                <w:lang w:val="zh-CN" w:eastAsia="zh-CN"/>
              </w:rPr>
              <w:t>：</w:t>
            </w:r>
            <w:r>
              <w:rPr>
                <w:rFonts w:hint="default" w:ascii="Times New Roman" w:hAnsi="Times New Roman" w:eastAsia="仿宋_GB2312" w:cs="Times New Roman"/>
                <w:i w:val="0"/>
                <w:iCs w:val="0"/>
                <w:sz w:val="32"/>
                <w:szCs w:val="32"/>
                <w:highlight w:val="none"/>
                <w:u w:val="single"/>
                <w:lang w:val="en-US" w:eastAsia="zh-CN"/>
              </w:rPr>
              <w:t>30分</w:t>
            </w:r>
          </w:p>
          <w:p w14:paraId="4A4BBFC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cs="Times New Roman"/>
                <w:highlight w:val="none"/>
                <w:lang w:val="en-US"/>
              </w:rPr>
            </w:pPr>
            <w:r>
              <w:rPr>
                <w:rFonts w:hint="default" w:ascii="Times New Roman" w:hAnsi="Times New Roman" w:eastAsia="仿宋_GB2312" w:cs="Times New Roman"/>
                <w:sz w:val="32"/>
                <w:szCs w:val="32"/>
                <w:highlight w:val="none"/>
                <w:lang w:val="zh-CN" w:eastAsia="zh-CN"/>
              </w:rPr>
              <w:t>项目人员：</w:t>
            </w:r>
            <w:r>
              <w:rPr>
                <w:rFonts w:hint="default" w:ascii="Times New Roman" w:hAnsi="Times New Roman" w:eastAsia="仿宋_GB2312" w:cs="Times New Roman"/>
                <w:sz w:val="32"/>
                <w:szCs w:val="32"/>
                <w:highlight w:val="none"/>
                <w:u w:val="single"/>
                <w:lang w:val="en-US" w:eastAsia="zh-CN"/>
              </w:rPr>
              <w:t xml:space="preserve">10分 </w:t>
            </w:r>
          </w:p>
        </w:tc>
      </w:tr>
      <w:tr w14:paraId="5B6F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913" w:type="dxa"/>
            <w:noWrap w:val="0"/>
            <w:tcMar>
              <w:top w:w="0" w:type="dxa"/>
              <w:left w:w="0" w:type="dxa"/>
              <w:bottom w:w="0" w:type="dxa"/>
              <w:right w:w="0" w:type="dxa"/>
            </w:tcMar>
            <w:vAlign w:val="center"/>
          </w:tcPr>
          <w:p w14:paraId="57293E4E">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评审项</w:t>
            </w:r>
          </w:p>
        </w:tc>
        <w:tc>
          <w:tcPr>
            <w:tcW w:w="6786" w:type="dxa"/>
            <w:noWrap w:val="0"/>
            <w:tcMar>
              <w:top w:w="0" w:type="dxa"/>
              <w:left w:w="0" w:type="dxa"/>
              <w:bottom w:w="0" w:type="dxa"/>
              <w:right w:w="0" w:type="dxa"/>
            </w:tcMar>
            <w:vAlign w:val="center"/>
          </w:tcPr>
          <w:p w14:paraId="6C694191">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评标标准</w:t>
            </w:r>
          </w:p>
        </w:tc>
      </w:tr>
      <w:tr w14:paraId="14BC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913" w:type="dxa"/>
            <w:noWrap w:val="0"/>
            <w:tcMar>
              <w:top w:w="0" w:type="dxa"/>
              <w:left w:w="0" w:type="dxa"/>
              <w:bottom w:w="0" w:type="dxa"/>
              <w:right w:w="0" w:type="dxa"/>
            </w:tcMar>
            <w:vAlign w:val="center"/>
          </w:tcPr>
          <w:p w14:paraId="64EEB47B">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4948C204">
            <w:pPr>
              <w:keepNext w:val="0"/>
              <w:keepLines w:val="0"/>
              <w:pageBreakBefore w:val="0"/>
              <w:widowControl/>
              <w:numPr>
                <w:ilvl w:val="0"/>
                <w:numId w:val="0"/>
              </w:numPr>
              <w:kinsoku/>
              <w:wordWrap/>
              <w:overflowPunct/>
              <w:topLinePunct w:val="0"/>
              <w:autoSpaceDE/>
              <w:autoSpaceDN/>
              <w:bidi w:val="0"/>
              <w:adjustRightInd w:val="0"/>
              <w:snapToGrid w:val="0"/>
              <w:spacing w:line="48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zh-CN" w:eastAsia="zh-CN"/>
              </w:rPr>
              <w:t>投标报价得分=（基准价/</w:t>
            </w: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lang w:val="zh-CN" w:eastAsia="zh-CN"/>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val="zh-CN" w:eastAsia="zh-CN"/>
              </w:rPr>
              <w:t>分。满足招标文件要求的</w:t>
            </w:r>
            <w:r>
              <w:rPr>
                <w:rFonts w:hint="default" w:ascii="Times New Roman" w:hAnsi="Times New Roman" w:eastAsia="仿宋_GB2312" w:cs="Times New Roman"/>
                <w:sz w:val="32"/>
                <w:szCs w:val="32"/>
                <w:highlight w:val="none"/>
                <w:lang w:val="en-US" w:eastAsia="zh-CN"/>
              </w:rPr>
              <w:t>所</w:t>
            </w:r>
            <w:r>
              <w:rPr>
                <w:rFonts w:hint="default" w:ascii="Times New Roman" w:hAnsi="Times New Roman" w:eastAsia="仿宋_GB2312" w:cs="Times New Roman"/>
                <w:sz w:val="32"/>
                <w:szCs w:val="32"/>
                <w:highlight w:val="none"/>
                <w:lang w:val="zh-CN" w:eastAsia="zh-CN"/>
              </w:rPr>
              <w:t>有</w:t>
            </w:r>
            <w:r>
              <w:rPr>
                <w:rFonts w:hint="default" w:ascii="Times New Roman" w:hAnsi="Times New Roman" w:eastAsia="仿宋_GB2312" w:cs="Times New Roman"/>
                <w:sz w:val="32"/>
                <w:szCs w:val="32"/>
                <w:highlight w:val="none"/>
                <w:lang w:val="en-US" w:eastAsia="zh-CN"/>
              </w:rPr>
              <w:t>有</w:t>
            </w:r>
            <w:r>
              <w:rPr>
                <w:rFonts w:hint="default" w:ascii="Times New Roman" w:hAnsi="Times New Roman" w:eastAsia="仿宋_GB2312" w:cs="Times New Roman"/>
                <w:sz w:val="32"/>
                <w:szCs w:val="32"/>
                <w:highlight w:val="none"/>
                <w:lang w:val="zh-CN" w:eastAsia="zh-CN"/>
              </w:rPr>
              <w:t>效投标报价中，最低的投标报价为评标基准价。</w:t>
            </w:r>
          </w:p>
        </w:tc>
      </w:tr>
      <w:tr w14:paraId="5A2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DEBE22">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业绩（</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344FDADF">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en-US" w:eastAsia="zh-CN"/>
              </w:rPr>
              <w:t>每提供一项企业202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年1月1日</w:t>
            </w:r>
            <w:r>
              <w:rPr>
                <w:rFonts w:hint="eastAsia" w:ascii="Times New Roman" w:hAnsi="Times New Roman" w:eastAsia="仿宋_GB2312" w:cs="Times New Roman"/>
                <w:sz w:val="32"/>
                <w:szCs w:val="32"/>
                <w:highlight w:val="none"/>
                <w:lang w:val="en-US" w:eastAsia="zh-CN"/>
              </w:rPr>
              <w:t>（日期以合同签订时间为准，需附合同复印件并加盖公章）</w:t>
            </w:r>
            <w:r>
              <w:rPr>
                <w:rFonts w:hint="default" w:ascii="Times New Roman" w:hAnsi="Times New Roman" w:eastAsia="仿宋_GB2312" w:cs="Times New Roman"/>
                <w:sz w:val="32"/>
                <w:szCs w:val="32"/>
                <w:highlight w:val="none"/>
                <w:lang w:val="en-US" w:eastAsia="zh-CN"/>
              </w:rPr>
              <w:t>以来签订的防洪影响评价报告编制合同及相应批复文件得5分，本项最高得30分。</w:t>
            </w:r>
          </w:p>
        </w:tc>
      </w:tr>
      <w:tr w14:paraId="55C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9EE04E">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服务方案（30分）</w:t>
            </w:r>
          </w:p>
        </w:tc>
        <w:tc>
          <w:tcPr>
            <w:tcW w:w="6786" w:type="dxa"/>
            <w:noWrap w:val="0"/>
            <w:tcMar>
              <w:top w:w="0" w:type="dxa"/>
              <w:left w:w="0" w:type="dxa"/>
              <w:bottom w:w="0" w:type="dxa"/>
              <w:right w:w="0" w:type="dxa"/>
            </w:tcMar>
            <w:vAlign w:val="center"/>
          </w:tcPr>
          <w:p w14:paraId="49BCDFCE">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工作方案（10分）：对本项目理解深入、重点突出、工作方案思路清晰、可行，能够保证报告编制工作按时保质、保量完成。优秀6-10分；良好1-5分；没有不得分。</w:t>
            </w:r>
          </w:p>
          <w:p w14:paraId="5A35CEDA">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报告编制质量及进度保障措施（10分）：是否制定完善的质量控制方案和程序、执行标准；对项目实施关键节点把握准确，能够严格按计划完成相关工作，能够根据</w:t>
            </w:r>
            <w:r>
              <w:rPr>
                <w:rFonts w:hint="eastAsia" w:ascii="Times New Roman" w:hAnsi="Times New Roman" w:eastAsia="仿宋_GB2312" w:cs="Times New Roman"/>
                <w:sz w:val="32"/>
                <w:szCs w:val="32"/>
                <w:highlight w:val="none"/>
                <w:lang w:val="en-US" w:eastAsia="zh-CN"/>
              </w:rPr>
              <w:t>采购人</w:t>
            </w:r>
            <w:r>
              <w:rPr>
                <w:rFonts w:hint="default" w:ascii="Times New Roman" w:hAnsi="Times New Roman" w:eastAsia="仿宋_GB2312" w:cs="Times New Roman"/>
                <w:sz w:val="32"/>
                <w:szCs w:val="32"/>
                <w:highlight w:val="none"/>
                <w:lang w:val="en-US" w:eastAsia="zh-CN"/>
              </w:rPr>
              <w:t>的进度安排报告交付时间。优秀6-10分；良好1-5分；没有不得分。</w:t>
            </w:r>
          </w:p>
          <w:p w14:paraId="5D87C696">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cs="Times New Roman"/>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重点难点分析（10分）。对项目进行重点难点分析并制定相应措施，配合后期整体项目实施的分析，描述科学、针对性强、合理。优秀6-10分；良好1-5分；没有不得分。</w:t>
            </w:r>
          </w:p>
        </w:tc>
      </w:tr>
      <w:tr w14:paraId="07AB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17EFE5B1">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项目人员（10分）</w:t>
            </w:r>
          </w:p>
        </w:tc>
        <w:tc>
          <w:tcPr>
            <w:tcW w:w="6786" w:type="dxa"/>
            <w:noWrap w:val="0"/>
            <w:tcMar>
              <w:top w:w="0" w:type="dxa"/>
              <w:left w:w="0" w:type="dxa"/>
              <w:bottom w:w="0" w:type="dxa"/>
              <w:right w:w="0" w:type="dxa"/>
            </w:tcMar>
            <w:vAlign w:val="center"/>
          </w:tcPr>
          <w:p w14:paraId="246CE0D5">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项目负责人具有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中级职称的得3分</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高级职称的得</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分；</w:t>
            </w:r>
          </w:p>
          <w:p w14:paraId="50F7E56B">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项目组人员中除项目负责人外，其他人员具有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中级（含）</w:t>
            </w:r>
            <w:r>
              <w:rPr>
                <w:rFonts w:hint="default" w:ascii="Times New Roman" w:hAnsi="Times New Roman" w:eastAsia="仿宋_GB2312" w:cs="Times New Roman"/>
                <w:color w:val="000000"/>
                <w:sz w:val="32"/>
                <w:szCs w:val="32"/>
                <w:highlight w:val="none"/>
                <w:lang w:val="en-US" w:eastAsia="zh-CN"/>
              </w:rPr>
              <w:t>以上职称得</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lang w:val="en-US" w:eastAsia="zh-CN"/>
              </w:rPr>
              <w:t>分，最高得</w:t>
            </w:r>
            <w:r>
              <w:rPr>
                <w:rFonts w:hint="eastAsia"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lang w:val="en-US" w:eastAsia="zh-CN"/>
              </w:rPr>
              <w:t>分。</w:t>
            </w:r>
          </w:p>
          <w:p w14:paraId="50B04D0F">
            <w:pPr>
              <w:pageBreakBefore w:val="0"/>
              <w:widowControl/>
              <w:numPr>
                <w:ilvl w:val="0"/>
                <w:numId w:val="0"/>
              </w:numPr>
              <w:kinsoku/>
              <w:wordWrap/>
              <w:overflowPunct/>
              <w:topLinePunct w:val="0"/>
              <w:bidi w:val="0"/>
              <w:adjustRightInd w:val="0"/>
              <w:snapToGrid w:val="0"/>
              <w:spacing w:line="520" w:lineRule="exact"/>
              <w:ind w:left="0" w:leftChars="0" w:firstLine="0" w:firstLineChars="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（需提供投标人员劳动合同</w:t>
            </w:r>
            <w:r>
              <w:rPr>
                <w:rFonts w:hint="eastAsia" w:ascii="Times New Roman" w:hAnsi="Times New Roman" w:eastAsia="仿宋_GB2312" w:cs="Times New Roman"/>
                <w:color w:val="auto"/>
                <w:sz w:val="32"/>
                <w:szCs w:val="32"/>
                <w:highlight w:val="none"/>
                <w:lang w:val="en-US" w:eastAsia="zh-CN"/>
              </w:rPr>
              <w:t>、近半年社保证明</w:t>
            </w:r>
            <w:r>
              <w:rPr>
                <w:rFonts w:hint="default" w:ascii="Times New Roman" w:hAnsi="Times New Roman" w:eastAsia="仿宋_GB2312" w:cs="Times New Roman"/>
                <w:color w:val="auto"/>
                <w:sz w:val="32"/>
                <w:szCs w:val="32"/>
                <w:highlight w:val="none"/>
                <w:lang w:val="en-US" w:eastAsia="zh-CN"/>
              </w:rPr>
              <w:t>及证书等证明材料）</w:t>
            </w:r>
            <w:bookmarkStart w:id="0" w:name="_GoBack"/>
            <w:bookmarkEnd w:id="0"/>
          </w:p>
        </w:tc>
      </w:tr>
    </w:tbl>
    <w:p w14:paraId="23F7519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w:t>
      </w:r>
      <w:r>
        <w:rPr>
          <w:rFonts w:hint="default"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lang w:val="zh-CN" w:eastAsia="zh-CN"/>
        </w:rPr>
        <w:t>）推荐</w:t>
      </w:r>
      <w:r>
        <w:rPr>
          <w:rFonts w:hint="default" w:ascii="Times New Roman" w:hAnsi="Times New Roman" w:eastAsia="仿宋_GB2312" w:cs="Times New Roman"/>
          <w:b/>
          <w:bCs/>
          <w:sz w:val="32"/>
          <w:szCs w:val="32"/>
          <w:highlight w:val="none"/>
          <w:lang w:val="en-US" w:eastAsia="zh-CN"/>
        </w:rPr>
        <w:t>中标</w:t>
      </w:r>
      <w:r>
        <w:rPr>
          <w:rFonts w:hint="default" w:ascii="Times New Roman" w:hAnsi="Times New Roman" w:eastAsia="仿宋_GB2312" w:cs="Times New Roman"/>
          <w:b/>
          <w:bCs/>
          <w:sz w:val="32"/>
          <w:szCs w:val="32"/>
          <w:highlight w:val="none"/>
          <w:lang w:val="zh-CN" w:eastAsia="zh-CN"/>
        </w:rPr>
        <w:t>候选人</w:t>
      </w:r>
    </w:p>
    <w:p w14:paraId="0C3E9E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_GB2312" w:cs="Times New Roman"/>
          <w:sz w:val="32"/>
          <w:szCs w:val="32"/>
          <w:highlight w:val="none"/>
          <w:lang w:val="zh-CN" w:eastAsia="zh-CN"/>
        </w:rPr>
        <w:t>评审小组根据综合评分情况，按照评审得分由高到低顺序推荐</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zh-CN" w:eastAsia="zh-CN"/>
        </w:rPr>
        <w:t>名中标候选人。</w:t>
      </w:r>
      <w:r>
        <w:rPr>
          <w:rFonts w:hint="default" w:ascii="Times New Roman" w:hAnsi="Times New Roman" w:eastAsia="仿宋_GB2312" w:cs="Times New Roman"/>
          <w:sz w:val="32"/>
          <w:szCs w:val="32"/>
          <w:highlight w:val="none"/>
          <w:lang w:val="en-US" w:eastAsia="zh-CN"/>
        </w:rPr>
        <w:t>如最高得分为两家或两家以上时，由采购人组成的磋商小组进行磋商确定。</w:t>
      </w:r>
    </w:p>
    <w:p w14:paraId="1F651DBA">
      <w:pPr>
        <w:pStyle w:val="4"/>
        <w:pageBreakBefore w:val="0"/>
        <w:numPr>
          <w:ilvl w:val="0"/>
          <w:numId w:val="0"/>
        </w:numPr>
        <w:kinsoku/>
        <w:wordWrap/>
        <w:overflowPunct/>
        <w:topLinePunct w:val="0"/>
        <w:bidi w:val="0"/>
        <w:spacing w:line="520" w:lineRule="exact"/>
        <w:ind w:leftChars="0"/>
        <w:jc w:val="both"/>
        <w:rPr>
          <w:rFonts w:hint="default" w:ascii="Times New Roman" w:hAnsi="Times New Roman" w:cs="Times New Roman"/>
          <w:highlight w:val="none"/>
          <w:lang w:val="en-US" w:eastAsia="zh-CN"/>
        </w:rPr>
      </w:pPr>
    </w:p>
    <w:p w14:paraId="76DA6D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5481096F">
      <w:pPr>
        <w:keepNext w:val="0"/>
        <w:keepLines w:val="0"/>
        <w:pageBreakBefore w:val="0"/>
        <w:shd w:val="clear"/>
        <w:kinsoku/>
        <w:wordWrap/>
        <w:overflowPunct/>
        <w:topLinePunct w:val="0"/>
        <w:autoSpaceDE/>
        <w:autoSpaceDN/>
        <w:bidi w:val="0"/>
        <w:adjustRightInd/>
        <w:snapToGrid/>
        <w:spacing w:line="520" w:lineRule="exact"/>
        <w:rPr>
          <w:rFonts w:hint="default" w:ascii="Times New Roman" w:hAnsi="Times New Roman" w:cs="Times New Roman" w:eastAsiaTheme="minorEastAsia"/>
          <w:highlight w:val="none"/>
          <w:lang w:val="en-US" w:eastAsia="zh-CN"/>
        </w:rPr>
      </w:pPr>
    </w:p>
    <w:p w14:paraId="3BFD0F5A">
      <w:pPr>
        <w:pStyle w:val="2"/>
        <w:rPr>
          <w:rFonts w:hint="default" w:ascii="Times New Roman" w:hAnsi="Times New Roman" w:cs="Times New Roman" w:eastAsiaTheme="minorEastAsia"/>
          <w:highlight w:val="none"/>
          <w:lang w:val="en-US" w:eastAsia="zh-CN"/>
        </w:rPr>
      </w:pPr>
    </w:p>
    <w:p w14:paraId="49B1FB64">
      <w:pPr>
        <w:pStyle w:val="3"/>
        <w:rPr>
          <w:rFonts w:hint="default" w:ascii="Times New Roman" w:hAnsi="Times New Roman" w:cs="Times New Roman" w:eastAsiaTheme="minorEastAsia"/>
          <w:highlight w:val="none"/>
          <w:lang w:val="en-US" w:eastAsia="zh-CN"/>
        </w:rPr>
      </w:pPr>
    </w:p>
    <w:p w14:paraId="213B45EE">
      <w:pPr>
        <w:pStyle w:val="3"/>
        <w:rPr>
          <w:rFonts w:hint="default" w:ascii="Times New Roman" w:hAnsi="Times New Roman" w:cs="Times New Roman" w:eastAsiaTheme="minorEastAsia"/>
          <w:highlight w:val="none"/>
          <w:lang w:val="en-US" w:eastAsia="zh-CN"/>
        </w:rPr>
      </w:pPr>
    </w:p>
    <w:p w14:paraId="2E8C915F">
      <w:pPr>
        <w:pStyle w:val="12"/>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3FE68D1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0C59F5DD">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6477B238">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0295E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7F63C4FF">
      <w:pPr>
        <w:pStyle w:val="17"/>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3A82C91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0038F46D">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0C5BD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5370EDF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66F5FC5">
      <w:pPr>
        <w:ind w:firstLine="6400" w:firstLineChars="2000"/>
        <w:rPr>
          <w:rFonts w:hint="eastAsia" w:ascii="仿宋_GB2312" w:hAnsi="仿宋_GB2312" w:eastAsia="仿宋_GB2312" w:cs="仿宋_GB2312"/>
          <w:sz w:val="32"/>
          <w:szCs w:val="32"/>
        </w:rPr>
      </w:pPr>
    </w:p>
    <w:p w14:paraId="53249F06">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322375C1">
      <w:pPr>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p>
    <w:p w14:paraId="27AC073E">
      <w:pPr>
        <w:pStyle w:val="2"/>
        <w:rPr>
          <w:rFonts w:hint="default"/>
          <w:lang w:val="en-US"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EA506"/>
    <w:multiLevelType w:val="multilevel"/>
    <w:tmpl w:val="4E9EA506"/>
    <w:lvl w:ilvl="0" w:tentative="0">
      <w:start w:val="1"/>
      <w:numFmt w:val="chineseCounting"/>
      <w:pStyle w:val="4"/>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ZTc0ZGM5ODYzYTA0Zjk2MDQ0M2JlNWFiODg0NDcifQ=="/>
  </w:docVars>
  <w:rsids>
    <w:rsidRoot w:val="1289406A"/>
    <w:rsid w:val="05D832B8"/>
    <w:rsid w:val="0759622A"/>
    <w:rsid w:val="08150446"/>
    <w:rsid w:val="092B3F6C"/>
    <w:rsid w:val="0AD72553"/>
    <w:rsid w:val="0BBA05E1"/>
    <w:rsid w:val="1289406A"/>
    <w:rsid w:val="12FB45E9"/>
    <w:rsid w:val="164953A2"/>
    <w:rsid w:val="1BDD6EE9"/>
    <w:rsid w:val="22682FB8"/>
    <w:rsid w:val="226A32CF"/>
    <w:rsid w:val="2389558B"/>
    <w:rsid w:val="253B5191"/>
    <w:rsid w:val="2632693A"/>
    <w:rsid w:val="28A1559D"/>
    <w:rsid w:val="2A2651C8"/>
    <w:rsid w:val="2BC3457E"/>
    <w:rsid w:val="2C01620C"/>
    <w:rsid w:val="2CDE24A4"/>
    <w:rsid w:val="2CFD2151"/>
    <w:rsid w:val="34B322BA"/>
    <w:rsid w:val="35424B46"/>
    <w:rsid w:val="3AE47B4E"/>
    <w:rsid w:val="3B5149FE"/>
    <w:rsid w:val="456C320E"/>
    <w:rsid w:val="52441102"/>
    <w:rsid w:val="546534C0"/>
    <w:rsid w:val="59827FC3"/>
    <w:rsid w:val="5ED658B5"/>
    <w:rsid w:val="5F9A7BFD"/>
    <w:rsid w:val="64B82739"/>
    <w:rsid w:val="65DA3150"/>
    <w:rsid w:val="6A7A2B04"/>
    <w:rsid w:val="6C2E449C"/>
    <w:rsid w:val="6E2613DD"/>
    <w:rsid w:val="700C1760"/>
    <w:rsid w:val="74A842FB"/>
    <w:rsid w:val="75A50F0A"/>
    <w:rsid w:val="77852CA6"/>
    <w:rsid w:val="7C25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5">
    <w:name w:val="heading 2"/>
    <w:basedOn w:val="1"/>
    <w:next w:val="1"/>
    <w:autoRedefine/>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28"/>
      <w:szCs w:val="28"/>
      <w:lang w:val="en-US" w:eastAsia="en-US" w:bidi="ar-SA"/>
    </w:rPr>
  </w:style>
  <w:style w:type="paragraph" w:styleId="3">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autoRedefine/>
    <w:qFormat/>
    <w:uiPriority w:val="0"/>
    <w:rPr>
      <w:sz w:val="24"/>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next w:val="12"/>
    <w:qFormat/>
    <w:uiPriority w:val="0"/>
    <w:pPr>
      <w:ind w:firstLine="420" w:firstLineChars="100"/>
    </w:pPr>
    <w:rPr>
      <w:rFonts w:ascii="宋体" w:hAnsi="Times New Roman" w:eastAsia="宋体" w:cs="Times New Roman"/>
      <w:kern w:val="0"/>
      <w:sz w:val="34"/>
      <w:szCs w:val="20"/>
    </w:rPr>
  </w:style>
  <w:style w:type="paragraph" w:styleId="12">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 Indent 2_f03e68e1-e214-4ca0-9809-4610ee858d2f"/>
    <w:basedOn w:val="1"/>
    <w:autoRedefine/>
    <w:qFormat/>
    <w:uiPriority w:val="0"/>
    <w:pPr>
      <w:spacing w:after="120" w:line="480" w:lineRule="auto"/>
      <w:ind w:left="420" w:leftChars="200"/>
    </w:pPr>
    <w:rPr>
      <w:rFonts w:ascii="Calibri" w:hAnsi="Calibri" w:cs="Times New Roman"/>
      <w:sz w:val="24"/>
    </w:rPr>
  </w:style>
  <w:style w:type="paragraph" w:customStyle="1" w:styleId="17">
    <w:name w:val="Body Text First Indent"/>
    <w:basedOn w:val="2"/>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1122</Words>
  <Characters>1169</Characters>
  <Lines>0</Lines>
  <Paragraphs>0</Paragraphs>
  <TotalTime>0</TotalTime>
  <ScaleCrop>false</ScaleCrop>
  <LinksUpToDate>false</LinksUpToDate>
  <CharactersWithSpaces>1192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2024-02-28T04:51:00Z</dcterms:created>
  <dc:creator>Leo</dc:creator>
  <cp:lastModifiedBy>袁鑫阳</cp:lastModifiedBy>
  <cp:lastPrinted>2024-07-31T07:49:00Z</cp:lastPrinted>
  <dcterms:modified xsi:type="dcterms:W3CDTF">2026-08-06T09:40:50Z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FEB5E463C110472DA198FDF386F30D83_13</vt:lpwstr>
  </property>
  <property fmtid="{D5CDD505-2E9C-101B-9397-08002B2CF9AE}" pid="4" name="KSOTemplateDocerSaveRecord">
    <vt:lpwstr>eyJoZGlkIjoiZjM0NTAwZDYxN2E5ZjM4YmZkODg5ZjRkYmJhZDQyM2MiLCJ1c2VySWQiOiI1OTk3NzY2OTYifQ==</vt:lpwstr>
  </property>
</Properties>
</file>