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FB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附件1</w:t>
      </w:r>
    </w:p>
    <w:p w14:paraId="1A529DFC">
      <w:pPr>
        <w:shd w:val="clear" w:color="auto" w:fill="auto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报价单</w:t>
      </w:r>
    </w:p>
    <w:p w14:paraId="578B334D">
      <w:pPr>
        <w:shd w:val="clear" w:color="auto" w:fill="auto"/>
        <w:spacing w:line="560" w:lineRule="exact"/>
        <w:jc w:val="center"/>
        <w:rPr>
          <w:rFonts w:ascii="仿宋_GB2312" w:hAnsi="仿宋" w:eastAsia="仿宋_GB2312" w:cs="仿宋"/>
          <w:b/>
          <w:sz w:val="32"/>
          <w:szCs w:val="32"/>
        </w:rPr>
      </w:pPr>
    </w:p>
    <w:tbl>
      <w:tblPr>
        <w:tblStyle w:val="13"/>
        <w:tblW w:w="86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4"/>
        <w:gridCol w:w="5549"/>
      </w:tblGrid>
      <w:tr w14:paraId="457E1C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47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8E61B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项目名称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D0EE73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饮马河两侧游园配套设施更新项目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施工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总承包招标代理机构</w:t>
            </w:r>
          </w:p>
        </w:tc>
      </w:tr>
      <w:tr w14:paraId="365173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1A08B72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申请人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2F687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>公司名称***</w:t>
            </w:r>
          </w:p>
        </w:tc>
      </w:tr>
      <w:tr w14:paraId="6428FA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3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E5DAA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申请人资质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FF001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</w:tr>
      <w:tr w14:paraId="43EBE4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9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530EF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项目负责人（职务）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83B6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</w:tr>
      <w:tr w14:paraId="2E597F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9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61DE8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项目工作内容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4D20D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依据许昌市公共资源交易中心国有企业公开招标相关要求，对采购人组织的项目编制施工总承包单位招标采购文件，并负责项目公开招标采购手续办理和开标工作。</w:t>
            </w:r>
          </w:p>
        </w:tc>
      </w:tr>
      <w:tr w14:paraId="0B78E6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55AB3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报价</w:t>
            </w:r>
          </w:p>
          <w:p w14:paraId="13D05D00">
            <w:pPr>
              <w:pStyle w:val="2"/>
              <w:ind w:firstLine="626" w:firstLineChars="195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eastAsia="zh-CN" w:bidi="ar"/>
              </w:rPr>
              <w:t>（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下浮率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eastAsia="zh-CN" w:bidi="ar"/>
              </w:rPr>
              <w:t>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D5C97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>下浮</w:t>
            </w: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u w:val="single"/>
                <w:lang w:val="en-US" w:eastAsia="zh-CN"/>
              </w:rPr>
              <w:t>****</w:t>
            </w: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>%（含税）</w:t>
            </w:r>
          </w:p>
        </w:tc>
      </w:tr>
    </w:tbl>
    <w:p w14:paraId="4D598A37">
      <w:pPr>
        <w:shd w:val="clear" w:color="auto" w:fill="auto"/>
        <w:adjustRightInd w:val="0"/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BF41D22">
      <w:pPr>
        <w:shd w:val="clear" w:color="auto" w:fill="auto"/>
        <w:adjustRightInd w:val="0"/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E354F31">
      <w:pPr>
        <w:pStyle w:val="3"/>
        <w:ind w:firstLine="5461" w:firstLineChars="17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    月    日</w:t>
      </w:r>
    </w:p>
    <w:p w14:paraId="20E11217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3E6485DC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</w:t>
      </w:r>
    </w:p>
    <w:p w14:paraId="5C82FC14">
      <w:pPr>
        <w:pStyle w:val="8"/>
        <w:spacing w:line="240" w:lineRule="auto"/>
        <w:ind w:firstLine="0" w:firstLineChars="0"/>
        <w:contextualSpacing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zh-CN"/>
        </w:rPr>
        <w:t>评标标准</w:t>
      </w:r>
    </w:p>
    <w:p w14:paraId="39EA3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一、资格审查</w:t>
      </w:r>
    </w:p>
    <w:p w14:paraId="6D537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评审小组对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人资格进行检查。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确定符合资格的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人不少于3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家后对投标文件进行符合性审查，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少于三家则本次评标过程无效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。</w:t>
      </w:r>
    </w:p>
    <w:p w14:paraId="2DAB6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二、评审</w:t>
      </w:r>
    </w:p>
    <w:p w14:paraId="09F58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（一）评审方法</w:t>
      </w:r>
    </w:p>
    <w:p w14:paraId="14797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 w:eastAsia="zh-CN"/>
        </w:rPr>
        <w:t>本项目采用综合评分法。总分为 100 分。</w:t>
      </w:r>
    </w:p>
    <w:p w14:paraId="6C347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（二）评分办法</w:t>
      </w:r>
    </w:p>
    <w:tbl>
      <w:tblPr>
        <w:tblStyle w:val="13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3"/>
        <w:gridCol w:w="6786"/>
      </w:tblGrid>
      <w:tr w14:paraId="10F01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13" w:type="dxa"/>
            <w:vAlign w:val="center"/>
          </w:tcPr>
          <w:p w14:paraId="6E480701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分值构成</w:t>
            </w:r>
          </w:p>
          <w:p w14:paraId="332F293D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(总分100分)</w:t>
            </w:r>
          </w:p>
        </w:tc>
        <w:tc>
          <w:tcPr>
            <w:tcW w:w="6786" w:type="dxa"/>
            <w:vAlign w:val="center"/>
          </w:tcPr>
          <w:p w14:paraId="1FE8C0E0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企业报价：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30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分</w:t>
            </w:r>
          </w:p>
          <w:p w14:paraId="3761045A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服务方案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30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 xml:space="preserve"> 分</w:t>
            </w:r>
          </w:p>
          <w:p w14:paraId="1B3FABD7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企业业绩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20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>分</w:t>
            </w:r>
          </w:p>
          <w:p w14:paraId="60CEAF32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管理机构： 20 分</w:t>
            </w:r>
          </w:p>
        </w:tc>
      </w:tr>
      <w:tr w14:paraId="67401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5914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评审项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4B08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评标标准</w:t>
            </w:r>
          </w:p>
        </w:tc>
      </w:tr>
      <w:tr w14:paraId="67D29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603C2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报价</w:t>
            </w:r>
          </w:p>
          <w:p w14:paraId="788E25E2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95B9E">
            <w:pPr>
              <w:widowControl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1.收费超过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控制价的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为无效报价；</w:t>
            </w:r>
          </w:p>
          <w:p w14:paraId="6C355016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评标基准价：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取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满足招标文件要求的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所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效投标报价的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平均值为评标基准价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。</w:t>
            </w:r>
          </w:p>
          <w:p w14:paraId="667AE246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eastAsiaTheme="minorEastAsia"/>
                <w:position w:val="-26"/>
                <w:lang w:eastAsia="zh-CN"/>
              </w:rPr>
              <w:object>
                <v:shape id="_x0000_i1025" o:spt="75" type="#_x0000_t75" style="height:36pt;width:229.95pt;" o:ole="t" filled="f" o:preferrelative="t" stroked="f" coordsize="21600,21600">
                  <v:path/>
                  <v:fill on="f" focussize="0,0"/>
                  <v:stroke on="f"/>
                  <v:imagedata r:id="rId6" o:title=""/>
                  <o:lock v:ext="edit" aspectratio="t"/>
                  <w10:wrap type="none"/>
                  <w10:anchorlock/>
                </v:shape>
                <o:OLEObject Type="Embed" ProgID="Equation.KSEE3" ShapeID="_x0000_i1025" DrawAspect="Content" ObjectID="_1468075725" r:id="rId5">
                  <o:LockedField>false</o:LockedField>
                </o:OLEObject>
              </w:object>
            </w:r>
          </w:p>
        </w:tc>
      </w:tr>
      <w:tr w14:paraId="78D02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B74F7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服务方案</w:t>
            </w:r>
          </w:p>
          <w:p w14:paraId="65E01F51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（30分）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B8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阐述招标采购代理各阶段的工作内容、工作重点、工作方法和工作流程（0-10分）；阐述招标采购过程中的风险防控及相应预案（0-10分）；保密措施及档案管理制度（0-5分）；服务承诺（0-5分）</w:t>
            </w:r>
          </w:p>
          <w:p w14:paraId="28A066CB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如有缺陷，酌情扣分。缺陷是指：存在项目名称错误、内容与本项目需求关联度不高、方案与采购人实际情况结合度不高、方案内容针对性弱、方案内容矛盾、仅有框架或标题明显复制其他项目内容等任意一种情形。</w:t>
            </w:r>
          </w:p>
        </w:tc>
      </w:tr>
      <w:tr w14:paraId="4D43E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7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FD0D6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企业业绩</w:t>
            </w:r>
          </w:p>
          <w:p w14:paraId="0AFED2F2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（20分）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99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firstLine="640" w:firstLineChars="200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自2023年1月1日起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承接过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工程类施工总承包项目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代理服务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的一项得5分，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最高得20分。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（需提供网上中标结果公示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或中标通知书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招标代理合同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，申请文件中附复印件并加盖公章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，时间以招标代理合同签订时间为准。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）</w:t>
            </w:r>
          </w:p>
        </w:tc>
      </w:tr>
      <w:tr w14:paraId="10C29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7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7B463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管理机构</w:t>
            </w:r>
          </w:p>
          <w:p w14:paraId="4CD5C18B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（20分）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DC85E">
            <w:pPr>
              <w:pageBreakBefore w:val="0"/>
              <w:widowControl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40" w:lineRule="exact"/>
              <w:ind w:left="0" w:leftChars="0" w:right="0" w:rightChars="0" w:firstLine="640" w:firstLineChars="200"/>
              <w:jc w:val="both"/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组人员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具有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工程类或经济类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中级</w:t>
            </w:r>
            <w:r>
              <w:rPr>
                <w:rFonts w:hint="eastAsia" w:eastAsia="仿宋_GB2312" w:cs="Times New Roman"/>
                <w:sz w:val="32"/>
                <w:szCs w:val="32"/>
                <w:lang w:val="zh-CN"/>
              </w:rPr>
              <w:t>（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含</w:t>
            </w:r>
            <w:r>
              <w:rPr>
                <w:rFonts w:hint="eastAsia" w:eastAsia="仿宋_GB2312" w:cs="Times New Roman"/>
                <w:sz w:val="32"/>
                <w:szCs w:val="32"/>
                <w:lang w:val="zh-CN"/>
              </w:rPr>
              <w:t>）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以上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职称得</w:t>
            </w: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zh-CN"/>
              </w:rPr>
              <w:t>分，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本项最高得20分。</w:t>
            </w:r>
          </w:p>
          <w:p w14:paraId="61E72798">
            <w:pPr>
              <w:pStyle w:val="11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sz w:val="32"/>
                <w:szCs w:val="32"/>
                <w:lang w:val="en-US" w:eastAsia="zh-CN"/>
              </w:rPr>
              <w:t>（需提供劳动合同等证明材料及证书复印件）</w:t>
            </w:r>
          </w:p>
        </w:tc>
      </w:tr>
    </w:tbl>
    <w:p w14:paraId="25840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）推荐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中标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候选人</w:t>
      </w:r>
    </w:p>
    <w:p w14:paraId="1D306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比选</w:t>
      </w:r>
      <w:r>
        <w:rPr>
          <w:rFonts w:hint="eastAsia" w:ascii="仿宋_GB2312" w:hAnsi="仿宋_GB2312" w:eastAsia="仿宋_GB2312" w:cs="仿宋_GB2312"/>
          <w:sz w:val="32"/>
          <w:szCs w:val="32"/>
        </w:rPr>
        <w:t>采用综合评分法，按照得分由高到低确定候选人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。</w:t>
      </w:r>
    </w:p>
    <w:p w14:paraId="42B4EDA2">
      <w:pPr>
        <w:pStyle w:val="11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3384AC0E">
      <w:pPr>
        <w:pStyle w:val="12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0F06852E">
      <w:pPr>
        <w:pStyle w:val="12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3AE7888C">
      <w:pPr>
        <w:pStyle w:val="12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2BFE6195">
      <w:pPr>
        <w:pStyle w:val="12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36365C44">
      <w:pPr>
        <w:pStyle w:val="12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661AAB15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2E8C915F">
      <w:pPr>
        <w:pStyle w:val="12"/>
        <w:spacing w:before="100" w:after="100"/>
        <w:ind w:left="0" w:leftChars="0" w:firstLine="0" w:firstLineChars="0"/>
        <w:rPr>
          <w:rFonts w:hint="default" w:eastAsia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附件3：</w:t>
      </w:r>
    </w:p>
    <w:p w14:paraId="3FE68D1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廉洁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律承诺书</w:t>
      </w:r>
    </w:p>
    <w:p w14:paraId="0C59F5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477B2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致: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公司</w:t>
      </w:r>
    </w:p>
    <w:p w14:paraId="0295E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为维护公平竞争的市场环境，确保经济活动的廉洁性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合法性和透明度，防止任何形式的不正当交易及腐败行为，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我单位作为投标人，郑重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:</w:t>
      </w:r>
    </w:p>
    <w:p w14:paraId="7F63C4FF">
      <w:pPr>
        <w:pStyle w:val="1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严格遵守国家及地方关于招投标、市场竞争的相关法律法规，不使用不正当手段妨碍、排挤相关投标单位或串通投标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3A82C9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2.不以任何形式(包括但不限于现金、礼品、有价证券回扣、佣金、提供旅游、娱乐活动等)向招标人员、评标专家或其他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利害关系方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进行贿赂或给予不正当利益。</w:t>
      </w:r>
    </w:p>
    <w:p w14:paraId="0038F4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3.不进行任何可能影响招标公平、公正的活动或尝试干预评标过程。</w:t>
      </w:r>
    </w:p>
    <w:p w14:paraId="0C5BD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5370ED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特此承诺。</w:t>
      </w:r>
    </w:p>
    <w:p w14:paraId="466F5FC5">
      <w:pPr>
        <w:ind w:firstLine="6400" w:firstLineChars="20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249F06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单位名称(盖章)</w:t>
      </w:r>
    </w:p>
    <w:p w14:paraId="322375C1">
      <w:pPr>
        <w:ind w:firstLine="4160" w:firstLineChars="13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日期:</w:t>
      </w:r>
    </w:p>
    <w:p w14:paraId="624CC397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36E398C9-BB84-4BEB-91B8-0910BE14B2E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D63C0D1-72C6-4BF6-827B-6EBE9C63CC5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A1066A5-03A4-4A59-ADDD-954FA55B375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B57573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7FDC80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7FDC80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4766F"/>
    <w:rsid w:val="00704336"/>
    <w:rsid w:val="022D245A"/>
    <w:rsid w:val="023A4BFB"/>
    <w:rsid w:val="03B60333"/>
    <w:rsid w:val="04311D7B"/>
    <w:rsid w:val="053E7D2E"/>
    <w:rsid w:val="06CD6815"/>
    <w:rsid w:val="08AA4CD9"/>
    <w:rsid w:val="08E4766F"/>
    <w:rsid w:val="0E3776C4"/>
    <w:rsid w:val="10FF6E3B"/>
    <w:rsid w:val="121865DB"/>
    <w:rsid w:val="1B9735D8"/>
    <w:rsid w:val="1F923E71"/>
    <w:rsid w:val="20141DB5"/>
    <w:rsid w:val="2185505E"/>
    <w:rsid w:val="22671F9E"/>
    <w:rsid w:val="239B187C"/>
    <w:rsid w:val="23CE2152"/>
    <w:rsid w:val="242023D2"/>
    <w:rsid w:val="24B76A25"/>
    <w:rsid w:val="27787DF0"/>
    <w:rsid w:val="29D137E8"/>
    <w:rsid w:val="2A863293"/>
    <w:rsid w:val="2C383613"/>
    <w:rsid w:val="2C5B1F28"/>
    <w:rsid w:val="2E913546"/>
    <w:rsid w:val="30B76275"/>
    <w:rsid w:val="32A0714D"/>
    <w:rsid w:val="332C1A8F"/>
    <w:rsid w:val="33501744"/>
    <w:rsid w:val="367207C6"/>
    <w:rsid w:val="37EA43F2"/>
    <w:rsid w:val="38064FA4"/>
    <w:rsid w:val="392576AC"/>
    <w:rsid w:val="3CB159AF"/>
    <w:rsid w:val="3FB3156E"/>
    <w:rsid w:val="40257AEB"/>
    <w:rsid w:val="41BF069E"/>
    <w:rsid w:val="46506E72"/>
    <w:rsid w:val="477A0183"/>
    <w:rsid w:val="4936242A"/>
    <w:rsid w:val="4B577F0F"/>
    <w:rsid w:val="5010240B"/>
    <w:rsid w:val="56382375"/>
    <w:rsid w:val="58FC4F69"/>
    <w:rsid w:val="5CC9362F"/>
    <w:rsid w:val="603E50D6"/>
    <w:rsid w:val="606079EE"/>
    <w:rsid w:val="61355E2F"/>
    <w:rsid w:val="63B8004A"/>
    <w:rsid w:val="65501D46"/>
    <w:rsid w:val="66236B9E"/>
    <w:rsid w:val="69043565"/>
    <w:rsid w:val="696C0215"/>
    <w:rsid w:val="6B901CD8"/>
    <w:rsid w:val="6E7C3ECE"/>
    <w:rsid w:val="70447E3C"/>
    <w:rsid w:val="70AC6B88"/>
    <w:rsid w:val="72220F73"/>
    <w:rsid w:val="73165394"/>
    <w:rsid w:val="75A803E5"/>
    <w:rsid w:val="75C970D2"/>
    <w:rsid w:val="75F419BD"/>
    <w:rsid w:val="7770280F"/>
    <w:rsid w:val="78E270F8"/>
    <w:rsid w:val="7AC027B5"/>
    <w:rsid w:val="7D0932A6"/>
    <w:rsid w:val="7F76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100" w:beforeLines="0" w:beforeAutospacing="0" w:after="100" w:afterLines="0" w:afterAutospacing="0" w:line="240" w:lineRule="auto"/>
      <w:ind w:firstLine="0" w:firstLineChars="0"/>
      <w:outlineLvl w:val="1"/>
    </w:pPr>
    <w:rPr>
      <w:b/>
      <w:sz w:val="32"/>
    </w:rPr>
  </w:style>
  <w:style w:type="character" w:default="1" w:styleId="14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_正文"/>
    <w:basedOn w:val="1"/>
    <w:qFormat/>
    <w:uiPriority w:val="0"/>
    <w:pPr>
      <w:spacing w:line="480" w:lineRule="exact"/>
      <w:ind w:firstLine="200"/>
    </w:pPr>
    <w:rPr>
      <w:rFonts w:cs="Times New Roman"/>
      <w:kern w:val="0"/>
    </w:rPr>
  </w:style>
  <w:style w:type="paragraph" w:styleId="4">
    <w:name w:val="Body Text"/>
    <w:basedOn w:val="1"/>
    <w:next w:val="5"/>
    <w:qFormat/>
    <w:uiPriority w:val="0"/>
    <w:pPr>
      <w:jc w:val="center"/>
    </w:pPr>
    <w:rPr>
      <w:rFonts w:ascii="Times New Roman" w:hAnsi="Times New Roman" w:eastAsia="黑体" w:cs="Times New Roman"/>
      <w:sz w:val="36"/>
      <w:szCs w:val="20"/>
    </w:rPr>
  </w:style>
  <w:style w:type="paragraph" w:styleId="5">
    <w:name w:val="Body Text 2"/>
    <w:basedOn w:val="1"/>
    <w:qFormat/>
    <w:uiPriority w:val="0"/>
    <w:pPr>
      <w:spacing w:line="480" w:lineRule="auto"/>
    </w:pPr>
    <w:rPr>
      <w:rFonts w:ascii="Times New Roman" w:hAnsi="Times New Roman" w:eastAsia="宋体" w:cs="Times New Roman"/>
    </w:r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</w:style>
  <w:style w:type="paragraph" w:styleId="7">
    <w:name w:val="envelope return"/>
    <w:basedOn w:val="1"/>
    <w:qFormat/>
    <w:uiPriority w:val="0"/>
    <w:pPr>
      <w:widowControl w:val="0"/>
      <w:snapToGrid w:val="0"/>
      <w:jc w:val="both"/>
    </w:pPr>
    <w:rPr>
      <w:rFonts w:ascii="Arial" w:hAnsi="Arial" w:eastAsia="宋体" w:cs="Times New Roman"/>
      <w:kern w:val="2"/>
      <w:sz w:val="21"/>
      <w:szCs w:val="22"/>
      <w:lang w:val="en-US" w:eastAsia="zh-CN" w:bidi="ar-SA"/>
    </w:rPr>
  </w:style>
  <w:style w:type="paragraph" w:styleId="8">
    <w:name w:val="Plain Text"/>
    <w:basedOn w:val="1"/>
    <w:qFormat/>
    <w:uiPriority w:val="0"/>
    <w:rPr>
      <w:sz w:val="24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1">
    <w:name w:val="Body Text First Indent"/>
    <w:basedOn w:val="4"/>
    <w:next w:val="12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12">
    <w:name w:val="Body Text First Indent 2"/>
    <w:basedOn w:val="6"/>
    <w:qFormat/>
    <w:uiPriority w:val="0"/>
    <w:pPr>
      <w:adjustRightInd w:val="0"/>
      <w:snapToGrid w:val="0"/>
      <w:spacing w:beforeAutospacing="1" w:afterAutospacing="1" w:line="360" w:lineRule="auto"/>
      <w:ind w:left="480" w:firstLine="562" w:firstLineChars="200"/>
      <w:jc w:val="left"/>
    </w:pPr>
    <w:rPr>
      <w:rFonts w:hint="eastAsia" w:ascii="仿宋_GB2312" w:hAnsi="仿宋_GB2312" w:cs="Times New Roman"/>
      <w:szCs w:val="30"/>
      <w:lang w:eastAsia="en-US"/>
    </w:rPr>
  </w:style>
  <w:style w:type="paragraph" w:customStyle="1" w:styleId="15">
    <w:name w:val="Body Text First Indent"/>
    <w:basedOn w:val="4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1068</Words>
  <Characters>1107</Characters>
  <Lines>0</Lines>
  <Paragraphs>0</Paragraphs>
  <TotalTime>2</TotalTime>
  <ScaleCrop>false</ScaleCrop>
  <LinksUpToDate>false</LinksUpToDate>
  <CharactersWithSpaces>1132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2025-10-17T00:22:00Z</dcterms:created>
  <dc:creator>小雨</dc:creator>
  <cp:lastModifiedBy>WPS_1658882146</cp:lastModifiedBy>
  <cp:lastPrinted>2026-07-06T02:02:00Z</cp:lastPrinted>
  <dcterms:modified xsi:type="dcterms:W3CDTF">2026-08-28T03:15:48Z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45123232497A4612A91F4C9C9F38C606_13</vt:lpwstr>
  </property>
  <property fmtid="{D5CDD505-2E9C-101B-9397-08002B2CF9AE}" pid="4" name="KSOTemplateDocerSaveRecord">
    <vt:lpwstr>eyJoZGlkIjoiNzg3ODU5ZjYyMmM0YjBjOTIyMTM1NmE1ZDhlZDkzNWQiLCJ1c2VySWQiOiIzMTMxMDc2MjYifQ==</vt:lpwstr>
  </property>
</Properties>
</file>