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3DCB0">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仿宋_GB2312" w:hAnsi="仿宋_GB2312" w:eastAsia="仿宋_GB2312" w:cs="仿宋_GB2312"/>
          <w:sz w:val="32"/>
          <w:szCs w:val="32"/>
          <w:highlight w:val="none"/>
          <w:lang w:val="en-US" w:eastAsia="zh-CN"/>
        </w:rPr>
      </w:pPr>
      <w:bookmarkStart w:id="0" w:name="_GoBack"/>
      <w:bookmarkEnd w:id="0"/>
      <w:r>
        <w:rPr>
          <w:rFonts w:hint="eastAsia" w:ascii="仿宋_GB2312" w:hAnsi="仿宋_GB2312" w:eastAsia="仿宋_GB2312" w:cs="仿宋_GB2312"/>
          <w:sz w:val="32"/>
          <w:szCs w:val="32"/>
          <w:highlight w:val="none"/>
          <w:lang w:val="en-US" w:eastAsia="zh-CN"/>
        </w:rPr>
        <w:t>附件1</w:t>
      </w:r>
    </w:p>
    <w:p w14:paraId="110FB226">
      <w:pPr>
        <w:shd w:val="clear" w:color="auto" w:fill="auto"/>
        <w:spacing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报价单</w:t>
      </w:r>
    </w:p>
    <w:p w14:paraId="0DF2C1EA">
      <w:pPr>
        <w:shd w:val="clear" w:color="auto" w:fill="auto"/>
        <w:spacing w:line="560" w:lineRule="exact"/>
        <w:jc w:val="center"/>
        <w:rPr>
          <w:rFonts w:ascii="仿宋_GB2312" w:hAnsi="仿宋" w:eastAsia="仿宋_GB2312" w:cs="仿宋"/>
          <w:b/>
          <w:sz w:val="32"/>
          <w:szCs w:val="32"/>
        </w:rPr>
      </w:pPr>
    </w:p>
    <w:tbl>
      <w:tblPr>
        <w:tblStyle w:val="12"/>
        <w:tblW w:w="8683" w:type="dxa"/>
        <w:tblInd w:w="0" w:type="dxa"/>
        <w:tblLayout w:type="fixed"/>
        <w:tblCellMar>
          <w:top w:w="15" w:type="dxa"/>
          <w:left w:w="15" w:type="dxa"/>
          <w:bottom w:w="15" w:type="dxa"/>
          <w:right w:w="15" w:type="dxa"/>
        </w:tblCellMar>
      </w:tblPr>
      <w:tblGrid>
        <w:gridCol w:w="3134"/>
        <w:gridCol w:w="5549"/>
      </w:tblGrid>
      <w:tr w14:paraId="4D01E52C">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vAlign w:val="center"/>
          </w:tcPr>
          <w:p w14:paraId="6A73220A">
            <w:pPr>
              <w:widowControl/>
              <w:shd w:val="clear" w:color="auto" w:fill="auto"/>
              <w:spacing w:line="560" w:lineRule="exact"/>
              <w:jc w:val="center"/>
              <w:textAlignment w:val="center"/>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项目名称</w:t>
            </w:r>
          </w:p>
        </w:tc>
        <w:tc>
          <w:tcPr>
            <w:tcW w:w="5549" w:type="dxa"/>
            <w:tcBorders>
              <w:top w:val="single" w:color="000000" w:sz="4" w:space="0"/>
              <w:left w:val="single" w:color="000000" w:sz="4" w:space="0"/>
              <w:bottom w:val="single" w:color="000000" w:sz="4" w:space="0"/>
              <w:right w:val="single" w:color="000000" w:sz="4" w:space="0"/>
            </w:tcBorders>
            <w:vAlign w:val="bottom"/>
          </w:tcPr>
          <w:p w14:paraId="4EE7764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lang w:eastAsia="zh-CN"/>
              </w:rPr>
              <w:t>许昌市</w:t>
            </w:r>
            <w:r>
              <w:rPr>
                <w:rFonts w:hint="eastAsia" w:ascii="仿宋_GB2312" w:hAnsi="仿宋_GB2312" w:eastAsia="仿宋_GB2312" w:cs="仿宋_GB2312"/>
                <w:color w:val="auto"/>
                <w:sz w:val="32"/>
                <w:szCs w:val="32"/>
                <w:highlight w:val="none"/>
                <w:lang w:val="en-US" w:eastAsia="zh-CN"/>
              </w:rPr>
              <w:t>市域内部分</w:t>
            </w:r>
            <w:r>
              <w:rPr>
                <w:rFonts w:hint="eastAsia" w:ascii="仿宋_GB2312" w:hAnsi="仿宋_GB2312" w:eastAsia="仿宋_GB2312" w:cs="仿宋_GB2312"/>
                <w:color w:val="auto"/>
                <w:sz w:val="32"/>
                <w:szCs w:val="32"/>
                <w:highlight w:val="none"/>
                <w:lang w:eastAsia="zh-CN"/>
              </w:rPr>
              <w:t>现有停车资源运营权评估</w:t>
            </w:r>
          </w:p>
          <w:p w14:paraId="3685DA67">
            <w:pPr>
              <w:keepNext w:val="0"/>
              <w:keepLines w:val="0"/>
              <w:pageBreakBefore w:val="0"/>
              <w:widowControl/>
              <w:shd w:val="clear" w:color="auto" w:fill="auto"/>
              <w:kinsoku/>
              <w:wordWrap/>
              <w:overflowPunct/>
              <w:topLinePunct w:val="0"/>
              <w:autoSpaceDE/>
              <w:autoSpaceDN/>
              <w:bidi w:val="0"/>
              <w:adjustRightInd/>
              <w:snapToGrid/>
              <w:spacing w:line="480" w:lineRule="exact"/>
              <w:jc w:val="left"/>
              <w:textAlignment w:val="center"/>
              <w:rPr>
                <w:rFonts w:hint="default" w:ascii="仿宋_GB2312" w:hAnsi="仿宋_GB2312" w:eastAsia="仿宋_GB2312" w:cs="仿宋_GB2312"/>
                <w:b w:val="0"/>
                <w:bCs/>
                <w:color w:val="000000"/>
                <w:sz w:val="24"/>
                <w:szCs w:val="24"/>
                <w:lang w:val="en-US" w:eastAsia="zh-CN"/>
              </w:rPr>
            </w:pPr>
          </w:p>
        </w:tc>
      </w:tr>
      <w:tr w14:paraId="4E50260E">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right w:val="single" w:color="000000" w:sz="4" w:space="0"/>
            </w:tcBorders>
            <w:vAlign w:val="center"/>
          </w:tcPr>
          <w:p w14:paraId="6B064BB3">
            <w:pPr>
              <w:widowControl/>
              <w:shd w:val="clear" w:color="auto" w:fill="auto"/>
              <w:spacing w:line="560" w:lineRule="exact"/>
              <w:jc w:val="center"/>
              <w:textAlignment w:val="center"/>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申请人</w:t>
            </w:r>
          </w:p>
        </w:tc>
        <w:tc>
          <w:tcPr>
            <w:tcW w:w="5549" w:type="dxa"/>
            <w:tcBorders>
              <w:top w:val="single" w:color="000000" w:sz="4" w:space="0"/>
              <w:left w:val="single" w:color="000000" w:sz="4" w:space="0"/>
              <w:bottom w:val="single" w:color="000000" w:sz="4" w:space="0"/>
              <w:right w:val="single" w:color="000000" w:sz="4" w:space="0"/>
            </w:tcBorders>
            <w:vAlign w:val="center"/>
          </w:tcPr>
          <w:p w14:paraId="68D95FE6">
            <w:pPr>
              <w:widowControl/>
              <w:shd w:val="clear" w:color="auto" w:fill="auto"/>
              <w:spacing w:line="560" w:lineRule="exact"/>
              <w:jc w:val="center"/>
              <w:textAlignment w:val="center"/>
              <w:rPr>
                <w:rFonts w:hint="eastAsia" w:ascii="仿宋_GB2312" w:hAnsi="宋体" w:eastAsia="仿宋_GB2312" w:cs="仿宋_GB2312"/>
                <w:b/>
                <w:color w:val="000000"/>
                <w:sz w:val="32"/>
                <w:szCs w:val="32"/>
                <w:lang w:eastAsia="zh-CN"/>
              </w:rPr>
            </w:pPr>
            <w:r>
              <w:rPr>
                <w:rFonts w:hint="eastAsia" w:ascii="仿宋_GB2312" w:hAnsi="宋体" w:eastAsia="仿宋_GB2312" w:cs="仿宋_GB2312"/>
                <w:b w:val="0"/>
                <w:bCs/>
                <w:color w:val="000000"/>
                <w:sz w:val="32"/>
                <w:szCs w:val="32"/>
                <w:lang w:eastAsia="zh-CN"/>
              </w:rPr>
              <w:t>（</w:t>
            </w:r>
            <w:r>
              <w:rPr>
                <w:rFonts w:hint="eastAsia" w:ascii="仿宋_GB2312" w:hAnsi="宋体" w:eastAsia="仿宋_GB2312" w:cs="仿宋_GB2312"/>
                <w:b w:val="0"/>
                <w:bCs/>
                <w:color w:val="000000"/>
                <w:sz w:val="32"/>
                <w:szCs w:val="32"/>
                <w:lang w:val="en-US" w:eastAsia="zh-CN"/>
              </w:rPr>
              <w:t>公司名称***</w:t>
            </w:r>
            <w:r>
              <w:rPr>
                <w:rFonts w:hint="eastAsia" w:ascii="仿宋_GB2312" w:hAnsi="宋体" w:eastAsia="仿宋_GB2312" w:cs="仿宋_GB2312"/>
                <w:b w:val="0"/>
                <w:bCs/>
                <w:color w:val="000000"/>
                <w:sz w:val="32"/>
                <w:szCs w:val="32"/>
                <w:lang w:eastAsia="zh-CN"/>
              </w:rPr>
              <w:t>）</w:t>
            </w:r>
          </w:p>
        </w:tc>
      </w:tr>
      <w:tr w14:paraId="25A56387">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vAlign w:val="center"/>
          </w:tcPr>
          <w:p w14:paraId="6AAD3A8F">
            <w:pPr>
              <w:widowControl/>
              <w:shd w:val="clear" w:color="auto" w:fill="auto"/>
              <w:spacing w:line="560" w:lineRule="exact"/>
              <w:jc w:val="center"/>
              <w:textAlignment w:val="center"/>
              <w:rPr>
                <w:rFonts w:ascii="仿宋_GB2312" w:hAnsi="宋体" w:eastAsia="仿宋_GB2312" w:cs="仿宋_GB2312"/>
                <w:b/>
                <w:color w:val="000000"/>
                <w:kern w:val="0"/>
                <w:sz w:val="32"/>
                <w:szCs w:val="32"/>
              </w:rPr>
            </w:pPr>
            <w:r>
              <w:rPr>
                <w:rFonts w:hint="eastAsia" w:ascii="仿宋_GB2312" w:hAnsi="宋体" w:eastAsia="仿宋_GB2312" w:cs="仿宋_GB2312"/>
                <w:b/>
                <w:color w:val="000000"/>
                <w:kern w:val="0"/>
                <w:sz w:val="32"/>
                <w:szCs w:val="32"/>
              </w:rPr>
              <w:t>申请人资质</w:t>
            </w:r>
          </w:p>
        </w:tc>
        <w:tc>
          <w:tcPr>
            <w:tcW w:w="5549" w:type="dxa"/>
            <w:tcBorders>
              <w:top w:val="single" w:color="000000" w:sz="4" w:space="0"/>
              <w:left w:val="single" w:color="000000" w:sz="4" w:space="0"/>
              <w:bottom w:val="single" w:color="000000" w:sz="4" w:space="0"/>
              <w:right w:val="single" w:color="000000" w:sz="4" w:space="0"/>
            </w:tcBorders>
            <w:vAlign w:val="center"/>
          </w:tcPr>
          <w:p w14:paraId="1C963804">
            <w:pPr>
              <w:widowControl/>
              <w:shd w:val="clear" w:color="auto" w:fill="auto"/>
              <w:spacing w:line="560" w:lineRule="exact"/>
              <w:jc w:val="center"/>
              <w:textAlignment w:val="center"/>
              <w:rPr>
                <w:rFonts w:ascii="仿宋_GB2312" w:hAnsi="宋体" w:eastAsia="仿宋_GB2312" w:cs="仿宋_GB2312"/>
                <w:b/>
                <w:color w:val="000000"/>
                <w:sz w:val="32"/>
                <w:szCs w:val="32"/>
              </w:rPr>
            </w:pPr>
          </w:p>
        </w:tc>
      </w:tr>
      <w:tr w14:paraId="35511761">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vAlign w:val="center"/>
          </w:tcPr>
          <w:p w14:paraId="6582DF16">
            <w:pPr>
              <w:widowControl/>
              <w:shd w:val="clear" w:color="auto" w:fill="auto"/>
              <w:spacing w:line="560" w:lineRule="exact"/>
              <w:jc w:val="center"/>
              <w:textAlignment w:val="center"/>
              <w:rPr>
                <w:rFonts w:ascii="仿宋_GB2312" w:hAnsi="宋体" w:eastAsia="仿宋_GB2312" w:cs="仿宋_GB2312"/>
                <w:b/>
                <w:color w:val="000000"/>
                <w:kern w:val="0"/>
                <w:sz w:val="32"/>
                <w:szCs w:val="32"/>
              </w:rPr>
            </w:pPr>
            <w:r>
              <w:rPr>
                <w:rFonts w:hint="eastAsia" w:ascii="仿宋_GB2312" w:hAnsi="宋体" w:eastAsia="仿宋_GB2312" w:cs="仿宋_GB2312"/>
                <w:b/>
                <w:color w:val="000000"/>
                <w:kern w:val="0"/>
                <w:sz w:val="32"/>
                <w:szCs w:val="32"/>
              </w:rPr>
              <w:t>项目负责人（职务）</w:t>
            </w:r>
          </w:p>
        </w:tc>
        <w:tc>
          <w:tcPr>
            <w:tcW w:w="5549" w:type="dxa"/>
            <w:tcBorders>
              <w:top w:val="single" w:color="000000" w:sz="4" w:space="0"/>
              <w:left w:val="single" w:color="000000" w:sz="4" w:space="0"/>
              <w:bottom w:val="single" w:color="000000" w:sz="4" w:space="0"/>
              <w:right w:val="single" w:color="000000" w:sz="4" w:space="0"/>
            </w:tcBorders>
            <w:vAlign w:val="center"/>
          </w:tcPr>
          <w:p w14:paraId="07EBD11A">
            <w:pPr>
              <w:widowControl/>
              <w:shd w:val="clear" w:color="auto" w:fill="auto"/>
              <w:spacing w:line="560" w:lineRule="exact"/>
              <w:jc w:val="center"/>
              <w:textAlignment w:val="center"/>
              <w:rPr>
                <w:rFonts w:ascii="仿宋_GB2312" w:hAnsi="宋体" w:eastAsia="仿宋_GB2312" w:cs="仿宋_GB2312"/>
                <w:b/>
                <w:color w:val="000000"/>
                <w:sz w:val="32"/>
                <w:szCs w:val="32"/>
              </w:rPr>
            </w:pPr>
          </w:p>
        </w:tc>
      </w:tr>
      <w:tr w14:paraId="773EBEE9">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vAlign w:val="center"/>
          </w:tcPr>
          <w:p w14:paraId="18A584A7">
            <w:pPr>
              <w:widowControl/>
              <w:shd w:val="clear" w:color="auto" w:fill="auto"/>
              <w:spacing w:line="560" w:lineRule="exact"/>
              <w:jc w:val="center"/>
              <w:textAlignment w:val="center"/>
              <w:rPr>
                <w:rFonts w:hint="eastAsia" w:ascii="仿宋_GB2312" w:hAnsi="宋体" w:eastAsia="仿宋_GB2312" w:cs="仿宋_GB2312"/>
                <w:b/>
                <w:color w:val="000000"/>
                <w:kern w:val="0"/>
                <w:sz w:val="32"/>
                <w:szCs w:val="32"/>
                <w:lang w:val="en-US" w:eastAsia="zh-CN"/>
              </w:rPr>
            </w:pPr>
            <w:r>
              <w:rPr>
                <w:rFonts w:hint="eastAsia" w:ascii="仿宋_GB2312" w:hAnsi="宋体" w:eastAsia="仿宋_GB2312" w:cs="仿宋_GB2312"/>
                <w:b/>
                <w:color w:val="000000"/>
                <w:kern w:val="0"/>
                <w:sz w:val="32"/>
                <w:szCs w:val="32"/>
                <w:lang w:val="en-US" w:eastAsia="zh-CN"/>
              </w:rPr>
              <w:t>项目工作内容</w:t>
            </w:r>
          </w:p>
        </w:tc>
        <w:tc>
          <w:tcPr>
            <w:tcW w:w="5549" w:type="dxa"/>
            <w:tcBorders>
              <w:top w:val="single" w:color="000000" w:sz="4" w:space="0"/>
              <w:left w:val="single" w:color="000000" w:sz="4" w:space="0"/>
              <w:bottom w:val="single" w:color="000000" w:sz="4" w:space="0"/>
              <w:right w:val="single" w:color="000000" w:sz="4" w:space="0"/>
            </w:tcBorders>
            <w:vAlign w:val="center"/>
          </w:tcPr>
          <w:p w14:paraId="46592292">
            <w:pPr>
              <w:widowControl/>
              <w:shd w:val="clear" w:color="auto" w:fill="auto"/>
              <w:spacing w:line="560" w:lineRule="exact"/>
              <w:jc w:val="center"/>
              <w:textAlignment w:val="center"/>
              <w:rPr>
                <w:rFonts w:hint="eastAsia" w:ascii="仿宋_GB2312" w:hAnsi="宋体" w:eastAsia="仿宋_GB2312" w:cs="仿宋_GB2312"/>
                <w:b/>
                <w:color w:val="000000"/>
                <w:kern w:val="0"/>
                <w:sz w:val="32"/>
                <w:szCs w:val="32"/>
              </w:rPr>
            </w:pPr>
          </w:p>
        </w:tc>
      </w:tr>
      <w:tr w14:paraId="46EFD320">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vAlign w:val="center"/>
          </w:tcPr>
          <w:p w14:paraId="709B7ED1">
            <w:pPr>
              <w:widowControl/>
              <w:shd w:val="clear" w:color="auto" w:fill="auto"/>
              <w:spacing w:line="560" w:lineRule="exact"/>
              <w:jc w:val="center"/>
              <w:textAlignment w:val="center"/>
              <w:rPr>
                <w:rFonts w:ascii="仿宋_GB2312" w:hAnsi="宋体" w:eastAsia="仿宋_GB2312" w:cs="仿宋_GB2312"/>
                <w:b/>
                <w:color w:val="000000"/>
                <w:kern w:val="0"/>
                <w:sz w:val="32"/>
                <w:szCs w:val="32"/>
              </w:rPr>
            </w:pPr>
            <w:r>
              <w:rPr>
                <w:rFonts w:hint="eastAsia" w:ascii="仿宋_GB2312" w:hAnsi="宋体" w:eastAsia="仿宋_GB2312" w:cs="仿宋_GB2312"/>
                <w:b/>
                <w:color w:val="000000"/>
                <w:kern w:val="0"/>
                <w:sz w:val="32"/>
                <w:szCs w:val="32"/>
              </w:rPr>
              <w:t>报价</w:t>
            </w:r>
          </w:p>
        </w:tc>
        <w:tc>
          <w:tcPr>
            <w:tcW w:w="5549" w:type="dxa"/>
            <w:tcBorders>
              <w:top w:val="single" w:color="000000" w:sz="4" w:space="0"/>
              <w:left w:val="single" w:color="000000" w:sz="4" w:space="0"/>
              <w:bottom w:val="single" w:color="000000" w:sz="4" w:space="0"/>
              <w:right w:val="single" w:color="000000" w:sz="4" w:space="0"/>
            </w:tcBorders>
            <w:vAlign w:val="center"/>
          </w:tcPr>
          <w:p w14:paraId="4905912E">
            <w:pPr>
              <w:widowControl/>
              <w:shd w:val="clear" w:color="auto" w:fill="auto"/>
              <w:spacing w:line="560" w:lineRule="exact"/>
              <w:jc w:val="center"/>
              <w:textAlignment w:val="center"/>
              <w:rPr>
                <w:rFonts w:ascii="仿宋_GB2312" w:hAnsi="宋体" w:eastAsia="仿宋_GB2312" w:cs="仿宋_GB2312"/>
                <w:b/>
                <w:color w:val="000000"/>
                <w:kern w:val="0"/>
                <w:sz w:val="32"/>
                <w:szCs w:val="32"/>
                <w:lang w:val="en-US"/>
              </w:rPr>
            </w:pPr>
          </w:p>
        </w:tc>
      </w:tr>
    </w:tbl>
    <w:p w14:paraId="19ED55E8">
      <w:pPr>
        <w:shd w:val="clear" w:color="auto" w:fill="auto"/>
        <w:adjustRightInd w:val="0"/>
        <w:spacing w:line="560" w:lineRule="exact"/>
        <w:ind w:firstLine="640" w:firstLineChars="200"/>
        <w:jc w:val="right"/>
        <w:rPr>
          <w:rFonts w:hint="eastAsia" w:ascii="仿宋_GB2312" w:hAnsi="仿宋_GB2312" w:eastAsia="仿宋_GB2312" w:cs="仿宋_GB2312"/>
          <w:sz w:val="32"/>
          <w:szCs w:val="32"/>
          <w:highlight w:val="none"/>
          <w:lang w:val="en-US" w:eastAsia="zh-CN"/>
        </w:rPr>
      </w:pPr>
    </w:p>
    <w:p w14:paraId="7DC614C1">
      <w:pPr>
        <w:shd w:val="clear" w:color="auto" w:fill="auto"/>
        <w:adjustRightInd w:val="0"/>
        <w:spacing w:line="560" w:lineRule="exact"/>
        <w:ind w:firstLine="640" w:firstLineChars="200"/>
        <w:jc w:val="right"/>
        <w:rPr>
          <w:rFonts w:hint="eastAsia" w:ascii="仿宋_GB2312" w:hAnsi="仿宋_GB2312" w:eastAsia="仿宋_GB2312" w:cs="仿宋_GB2312"/>
          <w:sz w:val="32"/>
          <w:szCs w:val="32"/>
          <w:highlight w:val="none"/>
          <w:lang w:val="en-US" w:eastAsia="zh-CN"/>
        </w:rPr>
      </w:pPr>
    </w:p>
    <w:p w14:paraId="5304D628">
      <w:pPr>
        <w:pStyle w:val="3"/>
        <w:numPr>
          <w:ilvl w:val="0"/>
          <w:numId w:val="0"/>
        </w:numPr>
        <w:ind w:left="254" w:leftChars="0" w:firstLine="5461" w:firstLineChars="17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年    月    日</w:t>
      </w:r>
    </w:p>
    <w:p w14:paraId="58ADCA61">
      <w:pPr>
        <w:rPr>
          <w:rFonts w:hint="eastAsia" w:ascii="仿宋_GB2312" w:hAnsi="仿宋_GB2312" w:eastAsia="仿宋_GB2312" w:cs="仿宋_GB2312"/>
          <w:sz w:val="32"/>
          <w:szCs w:val="32"/>
          <w:highlight w:val="none"/>
          <w:lang w:val="en-US" w:eastAsia="zh-CN"/>
        </w:rPr>
      </w:pPr>
    </w:p>
    <w:p w14:paraId="4349D456">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附件2</w:t>
      </w:r>
    </w:p>
    <w:p w14:paraId="2E6EFAEA">
      <w:pPr>
        <w:pStyle w:val="8"/>
        <w:spacing w:line="240" w:lineRule="auto"/>
        <w:ind w:firstLine="0" w:firstLineChars="0"/>
        <w:contextualSpacing/>
        <w:jc w:val="center"/>
        <w:rPr>
          <w:rFonts w:hint="eastAsia" w:ascii="方正小标宋简体" w:hAnsi="方正小标宋简体" w:eastAsia="方正小标宋简体" w:cs="方正小标宋简体"/>
          <w:b w:val="0"/>
          <w:bCs/>
          <w:sz w:val="44"/>
          <w:szCs w:val="44"/>
          <w:lang w:val="zh-CN"/>
        </w:rPr>
      </w:pPr>
      <w:r>
        <w:rPr>
          <w:rFonts w:hint="eastAsia" w:ascii="方正小标宋简体" w:hAnsi="方正小标宋简体" w:eastAsia="方正小标宋简体" w:cs="方正小标宋简体"/>
          <w:b w:val="0"/>
          <w:bCs/>
          <w:sz w:val="44"/>
          <w:szCs w:val="44"/>
          <w:lang w:val="zh-CN"/>
        </w:rPr>
        <w:t>评标标准</w:t>
      </w:r>
    </w:p>
    <w:p w14:paraId="5913761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一、资格审查</w:t>
      </w:r>
    </w:p>
    <w:p w14:paraId="482DB4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zh-CN" w:eastAsia="zh-CN"/>
        </w:rPr>
      </w:pPr>
      <w:r>
        <w:rPr>
          <w:rFonts w:hint="eastAsia" w:ascii="仿宋_GB2312" w:hAnsi="仿宋_GB2312" w:eastAsia="仿宋_GB2312" w:cs="仿宋_GB2312"/>
          <w:sz w:val="32"/>
          <w:szCs w:val="32"/>
          <w:lang w:eastAsia="zh-CN"/>
        </w:rPr>
        <w:t>评审小组对</w:t>
      </w:r>
      <w:r>
        <w:rPr>
          <w:rFonts w:hint="eastAsia" w:ascii="仿宋_GB2312" w:hAnsi="仿宋_GB2312" w:eastAsia="仿宋_GB2312" w:cs="仿宋_GB2312"/>
          <w:sz w:val="32"/>
          <w:szCs w:val="32"/>
          <w:lang w:val="en-US" w:eastAsia="zh-CN"/>
        </w:rPr>
        <w:t>申请</w:t>
      </w:r>
      <w:r>
        <w:rPr>
          <w:rFonts w:hint="eastAsia" w:ascii="仿宋_GB2312" w:hAnsi="仿宋_GB2312" w:eastAsia="仿宋_GB2312" w:cs="仿宋_GB2312"/>
          <w:sz w:val="32"/>
          <w:szCs w:val="32"/>
          <w:lang w:eastAsia="zh-CN"/>
        </w:rPr>
        <w:t>人资格进行检查。</w:t>
      </w:r>
      <w:r>
        <w:rPr>
          <w:rFonts w:hint="eastAsia" w:ascii="仿宋_GB2312" w:hAnsi="仿宋_GB2312" w:eastAsia="仿宋_GB2312" w:cs="仿宋_GB2312"/>
          <w:sz w:val="32"/>
          <w:szCs w:val="32"/>
          <w:lang w:val="zh-CN" w:eastAsia="zh-CN"/>
        </w:rPr>
        <w:t>确定符合资格的</w:t>
      </w:r>
      <w:r>
        <w:rPr>
          <w:rFonts w:hint="eastAsia" w:ascii="仿宋_GB2312" w:hAnsi="仿宋_GB2312" w:eastAsia="仿宋_GB2312" w:cs="仿宋_GB2312"/>
          <w:sz w:val="32"/>
          <w:szCs w:val="32"/>
          <w:lang w:val="en-US" w:eastAsia="zh-CN"/>
        </w:rPr>
        <w:t>申请</w:t>
      </w:r>
      <w:r>
        <w:rPr>
          <w:rFonts w:hint="eastAsia" w:ascii="仿宋_GB2312" w:hAnsi="仿宋_GB2312" w:eastAsia="仿宋_GB2312" w:cs="仿宋_GB2312"/>
          <w:sz w:val="32"/>
          <w:szCs w:val="32"/>
          <w:lang w:val="zh-CN" w:eastAsia="zh-CN"/>
        </w:rPr>
        <w:t>人不少于3</w:t>
      </w:r>
      <w:r>
        <w:rPr>
          <w:rFonts w:hint="eastAsia" w:ascii="仿宋_GB2312" w:hAnsi="仿宋_GB2312" w:eastAsia="仿宋_GB2312" w:cs="仿宋_GB2312"/>
          <w:color w:val="auto"/>
          <w:sz w:val="32"/>
          <w:szCs w:val="32"/>
          <w:lang w:val="zh-CN" w:eastAsia="zh-CN"/>
        </w:rPr>
        <w:t>家后对投标文件进行符合性审查，</w:t>
      </w:r>
      <w:r>
        <w:rPr>
          <w:rFonts w:hint="eastAsia" w:ascii="仿宋_GB2312" w:hAnsi="仿宋_GB2312" w:eastAsia="仿宋_GB2312" w:cs="仿宋_GB2312"/>
          <w:color w:val="auto"/>
          <w:sz w:val="32"/>
          <w:szCs w:val="32"/>
          <w:lang w:val="en-US" w:eastAsia="zh-CN"/>
        </w:rPr>
        <w:t>少于三家则本次评标过程无效</w:t>
      </w:r>
      <w:r>
        <w:rPr>
          <w:rFonts w:hint="eastAsia" w:ascii="仿宋_GB2312" w:hAnsi="仿宋_GB2312" w:eastAsia="仿宋_GB2312" w:cs="仿宋_GB2312"/>
          <w:color w:val="auto"/>
          <w:sz w:val="32"/>
          <w:szCs w:val="32"/>
          <w:lang w:val="zh-CN" w:eastAsia="zh-CN"/>
        </w:rPr>
        <w:t>。</w:t>
      </w:r>
    </w:p>
    <w:p w14:paraId="53E1DB8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二、评审</w:t>
      </w:r>
    </w:p>
    <w:p w14:paraId="45FF0E9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（一）评审方法</w:t>
      </w:r>
    </w:p>
    <w:p w14:paraId="647F1D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zh-CN" w:eastAsia="zh-CN"/>
        </w:rPr>
      </w:pPr>
      <w:r>
        <w:rPr>
          <w:rFonts w:hint="eastAsia" w:ascii="仿宋_GB2312" w:hAnsi="仿宋_GB2312" w:eastAsia="仿宋_GB2312" w:cs="仿宋_GB2312"/>
          <w:b w:val="0"/>
          <w:bCs w:val="0"/>
          <w:sz w:val="32"/>
          <w:szCs w:val="32"/>
          <w:lang w:val="zh-CN" w:eastAsia="zh-CN"/>
        </w:rPr>
        <w:t>本项目采用综合评分法。总分为 100 分。</w:t>
      </w:r>
    </w:p>
    <w:p w14:paraId="34EF928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（二）评分办法</w:t>
      </w:r>
    </w:p>
    <w:tbl>
      <w:tblPr>
        <w:tblStyle w:val="12"/>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3"/>
        <w:gridCol w:w="7616"/>
      </w:tblGrid>
      <w:tr w14:paraId="6717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83" w:type="dxa"/>
            <w:vAlign w:val="center"/>
          </w:tcPr>
          <w:p w14:paraId="671835CA">
            <w:pPr>
              <w:tabs>
                <w:tab w:val="left" w:pos="1260"/>
              </w:tabs>
              <w:autoSpaceDE w:val="0"/>
              <w:autoSpaceDN w:val="0"/>
              <w:adjustRightInd w:val="0"/>
              <w:snapToGrid w:val="0"/>
              <w:spacing w:line="276" w:lineRule="auto"/>
              <w:jc w:val="center"/>
              <w:rPr>
                <w:rFonts w:hint="eastAsia" w:ascii="仿宋_GB2312" w:hAnsi="仿宋_GB2312" w:eastAsia="仿宋_GB2312" w:cs="仿宋_GB2312"/>
                <w:sz w:val="32"/>
                <w:szCs w:val="32"/>
                <w:highlight w:val="none"/>
                <w:lang w:val="zh-CN"/>
              </w:rPr>
            </w:pPr>
            <w:r>
              <w:rPr>
                <w:rFonts w:hint="eastAsia" w:ascii="仿宋_GB2312" w:hAnsi="仿宋_GB2312" w:eastAsia="仿宋_GB2312" w:cs="仿宋_GB2312"/>
                <w:sz w:val="32"/>
                <w:szCs w:val="32"/>
                <w:highlight w:val="none"/>
                <w:lang w:val="zh-CN"/>
              </w:rPr>
              <w:t>分值构成</w:t>
            </w:r>
          </w:p>
          <w:p w14:paraId="1DD24AFE">
            <w:pPr>
              <w:tabs>
                <w:tab w:val="left" w:pos="1260"/>
              </w:tabs>
              <w:autoSpaceDE w:val="0"/>
              <w:autoSpaceDN w:val="0"/>
              <w:adjustRightInd w:val="0"/>
              <w:snapToGrid w:val="0"/>
              <w:spacing w:line="276" w:lineRule="auto"/>
              <w:jc w:val="center"/>
              <w:rPr>
                <w:rFonts w:hint="eastAsia" w:ascii="仿宋_GB2312" w:hAnsi="仿宋_GB2312" w:eastAsia="仿宋_GB2312" w:cs="仿宋_GB2312"/>
                <w:sz w:val="32"/>
                <w:szCs w:val="32"/>
                <w:highlight w:val="none"/>
                <w:lang w:val="zh-CN"/>
              </w:rPr>
            </w:pPr>
            <w:r>
              <w:rPr>
                <w:rFonts w:hint="eastAsia" w:ascii="仿宋_GB2312" w:hAnsi="仿宋_GB2312" w:eastAsia="仿宋_GB2312" w:cs="仿宋_GB2312"/>
                <w:sz w:val="32"/>
                <w:szCs w:val="32"/>
                <w:highlight w:val="none"/>
                <w:lang w:val="zh-CN"/>
              </w:rPr>
              <w:t>(总分100分)</w:t>
            </w:r>
          </w:p>
        </w:tc>
        <w:tc>
          <w:tcPr>
            <w:tcW w:w="7616" w:type="dxa"/>
            <w:vAlign w:val="center"/>
          </w:tcPr>
          <w:p w14:paraId="0BCC5876">
            <w:pPr>
              <w:widowControl/>
              <w:adjustRightInd w:val="0"/>
              <w:snapToGrid w:val="0"/>
              <w:spacing w:line="276" w:lineRule="auto"/>
              <w:jc w:val="left"/>
              <w:rPr>
                <w:rFonts w:hint="eastAsia" w:ascii="仿宋_GB2312" w:hAnsi="仿宋_GB2312" w:eastAsia="仿宋_GB2312" w:cs="仿宋_GB2312"/>
                <w:sz w:val="32"/>
                <w:szCs w:val="32"/>
                <w:highlight w:val="none"/>
                <w:lang w:val="zh-CN"/>
              </w:rPr>
            </w:pPr>
            <w:r>
              <w:rPr>
                <w:rFonts w:hint="eastAsia" w:ascii="仿宋_GB2312" w:hAnsi="仿宋_GB2312" w:eastAsia="仿宋_GB2312" w:cs="仿宋_GB2312"/>
                <w:sz w:val="32"/>
                <w:szCs w:val="32"/>
                <w:highlight w:val="none"/>
                <w:lang w:val="zh-CN"/>
              </w:rPr>
              <w:t>企业报价：</w:t>
            </w:r>
            <w:r>
              <w:rPr>
                <w:rFonts w:hint="eastAsia" w:ascii="仿宋_GB2312" w:hAnsi="仿宋_GB2312" w:eastAsia="仿宋_GB2312" w:cs="仿宋_GB2312"/>
                <w:sz w:val="32"/>
                <w:szCs w:val="32"/>
                <w:highlight w:val="none"/>
                <w:lang w:val="en-US" w:eastAsia="zh-CN"/>
              </w:rPr>
              <w:t xml:space="preserve"> </w:t>
            </w:r>
            <w:r>
              <w:rPr>
                <w:rFonts w:hint="default"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val="zh-CN"/>
              </w:rPr>
              <w:t>分</w:t>
            </w:r>
          </w:p>
          <w:p w14:paraId="50098101">
            <w:pPr>
              <w:widowControl/>
              <w:adjustRightInd w:val="0"/>
              <w:snapToGrid w:val="0"/>
              <w:spacing w:line="276" w:lineRule="auto"/>
              <w:jc w:val="left"/>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en-US" w:eastAsia="zh-CN"/>
              </w:rPr>
              <w:t>服务方案</w:t>
            </w:r>
            <w:r>
              <w:rPr>
                <w:rFonts w:hint="eastAsia" w:ascii="仿宋_GB2312" w:hAnsi="仿宋_GB2312" w:eastAsia="仿宋_GB2312" w:cs="仿宋_GB2312"/>
                <w:sz w:val="32"/>
                <w:szCs w:val="32"/>
                <w:highlight w:val="none"/>
                <w:lang w:val="zh-CN" w:eastAsia="zh-CN"/>
              </w:rPr>
              <w:t>：</w:t>
            </w:r>
            <w:r>
              <w:rPr>
                <w:rFonts w:hint="eastAsia" w:ascii="仿宋_GB2312" w:hAnsi="仿宋_GB2312" w:eastAsia="仿宋_GB2312" w:cs="仿宋_GB2312"/>
                <w:sz w:val="32"/>
                <w:szCs w:val="32"/>
                <w:highlight w:val="none"/>
                <w:lang w:val="en-US" w:eastAsia="zh-CN"/>
              </w:rPr>
              <w:t xml:space="preserve"> 25</w:t>
            </w:r>
            <w:r>
              <w:rPr>
                <w:rFonts w:hint="eastAsia" w:ascii="仿宋_GB2312" w:hAnsi="仿宋_GB2312" w:eastAsia="仿宋_GB2312" w:cs="仿宋_GB2312"/>
                <w:sz w:val="32"/>
                <w:szCs w:val="32"/>
                <w:highlight w:val="none"/>
                <w:lang w:val="zh-CN" w:eastAsia="zh-CN"/>
              </w:rPr>
              <w:t xml:space="preserve"> 分</w:t>
            </w:r>
          </w:p>
          <w:p w14:paraId="5B0D7D48">
            <w:pPr>
              <w:widowControl/>
              <w:adjustRightInd w:val="0"/>
              <w:snapToGrid w:val="0"/>
              <w:spacing w:line="276" w:lineRule="auto"/>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企业业绩</w:t>
            </w:r>
            <w:r>
              <w:rPr>
                <w:rFonts w:hint="eastAsia" w:ascii="仿宋_GB2312" w:hAnsi="仿宋_GB2312" w:eastAsia="仿宋_GB2312" w:cs="仿宋_GB2312"/>
                <w:sz w:val="32"/>
                <w:szCs w:val="32"/>
                <w:highlight w:val="none"/>
                <w:lang w:val="zh-CN" w:eastAsia="zh-CN"/>
              </w:rPr>
              <w:t>：</w:t>
            </w:r>
            <w:r>
              <w:rPr>
                <w:rFonts w:hint="eastAsia" w:ascii="仿宋_GB2312" w:hAnsi="仿宋_GB2312" w:eastAsia="仿宋_GB2312" w:cs="仿宋_GB2312"/>
                <w:sz w:val="32"/>
                <w:szCs w:val="32"/>
                <w:highlight w:val="none"/>
                <w:lang w:val="en-US" w:eastAsia="zh-CN"/>
              </w:rPr>
              <w:t xml:space="preserve"> 30</w:t>
            </w:r>
            <w:r>
              <w:rPr>
                <w:rFonts w:hint="eastAsia" w:ascii="仿宋_GB2312" w:hAnsi="仿宋_GB2312" w:eastAsia="仿宋_GB2312" w:cs="仿宋_GB2312"/>
                <w:sz w:val="32"/>
                <w:szCs w:val="32"/>
                <w:highlight w:val="none"/>
                <w:lang w:val="zh-CN" w:eastAsia="zh-CN"/>
              </w:rPr>
              <w:t>分</w:t>
            </w:r>
            <w:r>
              <w:rPr>
                <w:rFonts w:hint="eastAsia" w:ascii="仿宋_GB2312" w:hAnsi="仿宋_GB2312" w:eastAsia="仿宋_GB2312" w:cs="仿宋_GB2312"/>
                <w:sz w:val="32"/>
                <w:szCs w:val="32"/>
                <w:highlight w:val="none"/>
                <w:lang w:val="en-US" w:eastAsia="zh-CN"/>
              </w:rPr>
              <w:t xml:space="preserve">  </w:t>
            </w:r>
          </w:p>
          <w:p w14:paraId="0FACA536">
            <w:pPr>
              <w:widowControl/>
              <w:adjustRightInd w:val="0"/>
              <w:snapToGrid w:val="0"/>
              <w:spacing w:line="276" w:lineRule="auto"/>
              <w:jc w:val="left"/>
              <w:rPr>
                <w:rFonts w:hint="eastAsia"/>
                <w:highlight w:val="none"/>
                <w:lang w:val="en-US"/>
              </w:rPr>
            </w:pPr>
            <w:r>
              <w:rPr>
                <w:rFonts w:hint="eastAsia" w:ascii="仿宋_GB2312" w:hAnsi="仿宋_GB2312" w:eastAsia="仿宋_GB2312" w:cs="仿宋_GB2312"/>
                <w:sz w:val="32"/>
                <w:szCs w:val="32"/>
                <w:highlight w:val="none"/>
                <w:lang w:val="en-US" w:eastAsia="zh-CN"/>
              </w:rPr>
              <w:t xml:space="preserve">管理机构： </w:t>
            </w:r>
            <w:r>
              <w:rPr>
                <w:rFonts w:hint="default"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lang w:val="en-US" w:eastAsia="zh-CN"/>
              </w:rPr>
              <w:t>分</w:t>
            </w:r>
          </w:p>
        </w:tc>
      </w:tr>
      <w:tr w14:paraId="0701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83" w:type="dxa"/>
            <w:tcMar>
              <w:top w:w="0" w:type="dxa"/>
              <w:left w:w="0" w:type="dxa"/>
              <w:bottom w:w="0" w:type="dxa"/>
              <w:right w:w="0" w:type="dxa"/>
            </w:tcMar>
            <w:vAlign w:val="center"/>
          </w:tcPr>
          <w:p w14:paraId="093579CE">
            <w:pPr>
              <w:jc w:val="center"/>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评审项</w:t>
            </w:r>
          </w:p>
        </w:tc>
        <w:tc>
          <w:tcPr>
            <w:tcW w:w="7616" w:type="dxa"/>
            <w:tcMar>
              <w:top w:w="0" w:type="dxa"/>
              <w:left w:w="0" w:type="dxa"/>
              <w:bottom w:w="0" w:type="dxa"/>
              <w:right w:w="0" w:type="dxa"/>
            </w:tcMar>
            <w:vAlign w:val="center"/>
          </w:tcPr>
          <w:p w14:paraId="1C7D49F2">
            <w:pPr>
              <w:jc w:val="center"/>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评标标准</w:t>
            </w:r>
          </w:p>
        </w:tc>
      </w:tr>
      <w:tr w14:paraId="4049C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jc w:val="center"/>
        </w:trPr>
        <w:tc>
          <w:tcPr>
            <w:tcW w:w="2083" w:type="dxa"/>
            <w:tcMar>
              <w:top w:w="0" w:type="dxa"/>
              <w:left w:w="0" w:type="dxa"/>
              <w:bottom w:w="0" w:type="dxa"/>
              <w:right w:w="0" w:type="dxa"/>
            </w:tcMar>
            <w:vAlign w:val="center"/>
          </w:tcPr>
          <w:p w14:paraId="5C82F6FA">
            <w:pPr>
              <w:adjustRightInd w:val="0"/>
              <w:snapToGrid w:val="0"/>
              <w:spacing w:line="276"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企业</w:t>
            </w:r>
            <w:r>
              <w:rPr>
                <w:rFonts w:hint="eastAsia" w:ascii="仿宋_GB2312" w:hAnsi="仿宋_GB2312" w:eastAsia="仿宋_GB2312" w:cs="仿宋_GB2312"/>
                <w:sz w:val="32"/>
                <w:szCs w:val="32"/>
                <w:highlight w:val="none"/>
              </w:rPr>
              <w:t>报价</w:t>
            </w:r>
          </w:p>
          <w:p w14:paraId="2D88B909">
            <w:pPr>
              <w:adjustRightInd w:val="0"/>
              <w:snapToGrid w:val="0"/>
              <w:spacing w:line="276"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default" w:ascii="仿宋_GB2312" w:hAnsi="仿宋_GB2312" w:eastAsia="仿宋_GB2312" w:cs="仿宋_GB2312"/>
                <w:sz w:val="32"/>
                <w:szCs w:val="32"/>
                <w:highlight w:val="none"/>
                <w:lang w:val="en-US"/>
              </w:rPr>
              <w:t>25</w:t>
            </w:r>
            <w:r>
              <w:rPr>
                <w:rFonts w:hint="eastAsia" w:ascii="仿宋_GB2312" w:hAnsi="仿宋_GB2312" w:eastAsia="仿宋_GB2312" w:cs="仿宋_GB2312"/>
                <w:sz w:val="32"/>
                <w:szCs w:val="32"/>
                <w:highlight w:val="none"/>
              </w:rPr>
              <w:t>分）</w:t>
            </w:r>
          </w:p>
        </w:tc>
        <w:tc>
          <w:tcPr>
            <w:tcW w:w="7616" w:type="dxa"/>
            <w:tcMar>
              <w:top w:w="0" w:type="dxa"/>
              <w:left w:w="0" w:type="dxa"/>
              <w:bottom w:w="0" w:type="dxa"/>
              <w:right w:w="0" w:type="dxa"/>
            </w:tcMar>
            <w:vAlign w:val="center"/>
          </w:tcPr>
          <w:p w14:paraId="4A495B9E">
            <w:pPr>
              <w:widowControl/>
              <w:spacing w:line="440" w:lineRule="exact"/>
              <w:ind w:firstLine="640" w:firstLineChars="200"/>
              <w:jc w:val="left"/>
              <w:textAlignment w:val="center"/>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1.收费超过</w:t>
            </w:r>
            <w:r>
              <w:rPr>
                <w:rFonts w:hint="eastAsia" w:ascii="仿宋_GB2312" w:hAnsi="仿宋_GB2312" w:eastAsia="仿宋_GB2312" w:cs="仿宋_GB2312"/>
                <w:sz w:val="32"/>
                <w:szCs w:val="32"/>
                <w:lang w:val="en-US" w:eastAsia="zh-CN"/>
              </w:rPr>
              <w:t>控制价的</w:t>
            </w:r>
            <w:r>
              <w:rPr>
                <w:rFonts w:hint="eastAsia" w:ascii="仿宋_GB2312" w:hAnsi="仿宋_GB2312" w:eastAsia="仿宋_GB2312" w:cs="仿宋_GB2312"/>
                <w:sz w:val="32"/>
                <w:szCs w:val="32"/>
                <w:lang w:val="zh-CN"/>
              </w:rPr>
              <w:t>为无效报价；</w:t>
            </w:r>
          </w:p>
          <w:p w14:paraId="6C355016">
            <w:pPr>
              <w:widowControl/>
              <w:adjustRightInd w:val="0"/>
              <w:snapToGrid w:val="0"/>
              <w:spacing w:line="276" w:lineRule="auto"/>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评标基准价：</w:t>
            </w:r>
            <w:r>
              <w:rPr>
                <w:rFonts w:hint="default" w:ascii="Times New Roman" w:hAnsi="Times New Roman" w:eastAsia="仿宋_GB2312" w:cs="Times New Roman"/>
                <w:sz w:val="32"/>
                <w:szCs w:val="32"/>
                <w:lang w:val="en-US" w:eastAsia="zh-CN"/>
              </w:rPr>
              <w:t>取</w:t>
            </w:r>
            <w:r>
              <w:rPr>
                <w:rFonts w:hint="default" w:ascii="Times New Roman" w:hAnsi="Times New Roman" w:eastAsia="仿宋_GB2312" w:cs="Times New Roman"/>
                <w:sz w:val="32"/>
                <w:szCs w:val="32"/>
                <w:lang w:val="zh-CN"/>
              </w:rPr>
              <w:t>满足招标文件要求的</w:t>
            </w:r>
            <w:r>
              <w:rPr>
                <w:rFonts w:hint="default" w:ascii="Times New Roman" w:hAnsi="Times New Roman" w:eastAsia="仿宋_GB2312" w:cs="Times New Roman"/>
                <w:sz w:val="32"/>
                <w:szCs w:val="32"/>
                <w:lang w:val="en-US" w:eastAsia="zh-CN"/>
              </w:rPr>
              <w:t>所</w:t>
            </w:r>
            <w:r>
              <w:rPr>
                <w:rFonts w:hint="default" w:ascii="Times New Roman" w:hAnsi="Times New Roman" w:eastAsia="仿宋_GB2312" w:cs="Times New Roman"/>
                <w:sz w:val="32"/>
                <w:szCs w:val="32"/>
                <w:lang w:val="zh-CN"/>
              </w:rPr>
              <w:t>有</w:t>
            </w:r>
            <w:r>
              <w:rPr>
                <w:rFonts w:hint="default" w:ascii="Times New Roman" w:hAnsi="Times New Roman" w:eastAsia="仿宋_GB2312" w:cs="Times New Roman"/>
                <w:sz w:val="32"/>
                <w:szCs w:val="32"/>
                <w:lang w:val="en-US" w:eastAsia="zh-CN"/>
              </w:rPr>
              <w:t>有</w:t>
            </w:r>
            <w:r>
              <w:rPr>
                <w:rFonts w:hint="default" w:ascii="Times New Roman" w:hAnsi="Times New Roman" w:eastAsia="仿宋_GB2312" w:cs="Times New Roman"/>
                <w:sz w:val="32"/>
                <w:szCs w:val="32"/>
                <w:lang w:val="zh-CN"/>
              </w:rPr>
              <w:t>效投标报价的</w:t>
            </w:r>
            <w:r>
              <w:rPr>
                <w:rFonts w:hint="default" w:ascii="Times New Roman" w:hAnsi="Times New Roman" w:eastAsia="仿宋_GB2312" w:cs="Times New Roman"/>
                <w:sz w:val="32"/>
                <w:szCs w:val="32"/>
                <w:lang w:val="en-US" w:eastAsia="zh-CN"/>
              </w:rPr>
              <w:t>平均值为评标基准价</w:t>
            </w:r>
            <w:r>
              <w:rPr>
                <w:rFonts w:hint="eastAsia" w:eastAsia="仿宋_GB2312" w:cs="Times New Roman"/>
                <w:sz w:val="32"/>
                <w:szCs w:val="32"/>
                <w:lang w:val="en-US" w:eastAsia="zh-CN"/>
              </w:rPr>
              <w:t>。</w:t>
            </w:r>
          </w:p>
          <w:p w14:paraId="532861B1">
            <w:pPr>
              <w:widowControl/>
              <w:adjustRightInd w:val="0"/>
              <w:snapToGrid w:val="0"/>
              <w:spacing w:line="276" w:lineRule="auto"/>
              <w:ind w:firstLine="420" w:firstLineChars="200"/>
              <w:jc w:val="left"/>
              <w:rPr>
                <w:rFonts w:hint="default" w:ascii="仿宋_GB2312" w:hAnsi="仿宋_GB2312" w:eastAsia="仿宋_GB2312" w:cs="仿宋_GB2312"/>
                <w:sz w:val="32"/>
                <w:szCs w:val="32"/>
                <w:highlight w:val="none"/>
                <w:lang w:val="en-US"/>
              </w:rPr>
            </w:pPr>
            <w:r>
              <w:rPr>
                <w:rFonts w:hint="eastAsia" w:eastAsiaTheme="minorEastAsia"/>
                <w:position w:val="-26"/>
                <w:lang w:eastAsia="zh-CN"/>
              </w:rPr>
              <w:object>
                <v:shape id="_x0000_i1025" o:spt="75" type="#_x0000_t75" style="height:36pt;width:229.95pt;" o:ole="t" filled="f" o:preferrelative="t" stroked="f" coordsize="21600,21600">
                  <v:path/>
                  <v:fill on="f" focussize="0,0"/>
                  <v:stroke on="f"/>
                  <v:imagedata r:id="rId6" o:title=""/>
                  <o:lock v:ext="edit" aspectratio="t"/>
                  <w10:wrap type="none"/>
                  <w10:anchorlock/>
                </v:shape>
                <o:OLEObject Type="Embed" ProgID="Equation.KSEE3" ShapeID="_x0000_i1025" DrawAspect="Content" ObjectID="_1468075725" r:id="rId5">
                  <o:LockedField>false</o:LockedField>
                </o:OLEObject>
              </w:object>
            </w:r>
          </w:p>
        </w:tc>
      </w:tr>
      <w:tr w14:paraId="63986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5" w:hRule="atLeast"/>
          <w:jc w:val="center"/>
        </w:trPr>
        <w:tc>
          <w:tcPr>
            <w:tcW w:w="2083" w:type="dxa"/>
            <w:tcMar>
              <w:top w:w="0" w:type="dxa"/>
              <w:left w:w="0" w:type="dxa"/>
              <w:bottom w:w="0" w:type="dxa"/>
              <w:right w:w="0" w:type="dxa"/>
            </w:tcMar>
            <w:vAlign w:val="center"/>
          </w:tcPr>
          <w:p w14:paraId="176F0746">
            <w:pPr>
              <w:adjustRightInd w:val="0"/>
              <w:snapToGrid w:val="0"/>
              <w:spacing w:line="276" w:lineRule="auto"/>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服务方案</w:t>
            </w:r>
          </w:p>
          <w:p w14:paraId="5A10400A">
            <w:pPr>
              <w:adjustRightInd w:val="0"/>
              <w:snapToGrid w:val="0"/>
              <w:spacing w:line="276"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（25分）</w:t>
            </w:r>
          </w:p>
        </w:tc>
        <w:tc>
          <w:tcPr>
            <w:tcW w:w="7616" w:type="dxa"/>
            <w:tcMar>
              <w:top w:w="0" w:type="dxa"/>
              <w:left w:w="0" w:type="dxa"/>
              <w:bottom w:w="0" w:type="dxa"/>
              <w:right w:w="0" w:type="dxa"/>
            </w:tcMar>
            <w:vAlign w:val="center"/>
          </w:tcPr>
          <w:p w14:paraId="77D53A56">
            <w:pPr>
              <w:widowControl/>
              <w:numPr>
                <w:ilvl w:val="0"/>
                <w:numId w:val="0"/>
              </w:numPr>
              <w:adjustRightInd w:val="0"/>
              <w:snapToGrid w:val="0"/>
              <w:spacing w:line="276" w:lineRule="auto"/>
              <w:ind w:leftChars="0"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1.阐述</w:t>
            </w:r>
            <w:r>
              <w:rPr>
                <w:rFonts w:hint="eastAsia" w:eastAsia="仿宋_GB2312" w:cs="Times New Roman"/>
                <w:sz w:val="32"/>
                <w:szCs w:val="32"/>
                <w:highlight w:val="none"/>
                <w:lang w:val="en-US" w:eastAsia="zh-CN"/>
              </w:rPr>
              <w:t>资产评估机构</w:t>
            </w:r>
            <w:r>
              <w:rPr>
                <w:rFonts w:hint="eastAsia" w:ascii="仿宋_GB2312" w:hAnsi="仿宋_GB2312" w:eastAsia="仿宋_GB2312" w:cs="仿宋_GB2312"/>
                <w:sz w:val="32"/>
                <w:szCs w:val="32"/>
                <w:highlight w:val="none"/>
                <w:lang w:val="en-US" w:eastAsia="zh-CN"/>
              </w:rPr>
              <w:t>各阶段的工作内容、工作重点、工作方法和工作流程（0-15分）</w:t>
            </w:r>
          </w:p>
          <w:p w14:paraId="134B5615">
            <w:pPr>
              <w:widowControl/>
              <w:numPr>
                <w:ilvl w:val="0"/>
                <w:numId w:val="0"/>
              </w:numPr>
              <w:adjustRightInd w:val="0"/>
              <w:snapToGrid w:val="0"/>
              <w:spacing w:line="276" w:lineRule="auto"/>
              <w:ind w:leftChars="0" w:firstLine="640" w:firstLineChars="200"/>
              <w:jc w:val="both"/>
              <w:rPr>
                <w:rFonts w:hint="eastAsia" w:ascii="仿宋_GB2312" w:hAnsi="仿宋_GB2312" w:eastAsia="仿宋_GB2312" w:cs="仿宋_GB2312"/>
                <w:sz w:val="32"/>
                <w:szCs w:val="32"/>
                <w:highlight w:val="none"/>
                <w:lang w:val="zh-CN"/>
              </w:rPr>
            </w:pPr>
            <w:r>
              <w:rPr>
                <w:rFonts w:hint="eastAsia" w:ascii="仿宋_GB2312" w:hAnsi="仿宋_GB2312" w:eastAsia="仿宋_GB2312" w:cs="仿宋_GB2312"/>
                <w:sz w:val="32"/>
                <w:szCs w:val="32"/>
                <w:highlight w:val="none"/>
                <w:lang w:val="en-US" w:eastAsia="zh-CN"/>
              </w:rPr>
              <w:t>2.阐述尽调过程中的风险防控、保密措施及服务承诺（0-10分）</w:t>
            </w:r>
          </w:p>
        </w:tc>
      </w:tr>
      <w:tr w14:paraId="626F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2" w:hRule="atLeast"/>
          <w:jc w:val="center"/>
        </w:trPr>
        <w:tc>
          <w:tcPr>
            <w:tcW w:w="2083" w:type="dxa"/>
            <w:tcMar>
              <w:top w:w="0" w:type="dxa"/>
              <w:left w:w="0" w:type="dxa"/>
              <w:bottom w:w="0" w:type="dxa"/>
              <w:right w:w="0" w:type="dxa"/>
            </w:tcMar>
            <w:vAlign w:val="center"/>
          </w:tcPr>
          <w:p w14:paraId="46882A2E">
            <w:pPr>
              <w:adjustRightInd w:val="0"/>
              <w:snapToGrid w:val="0"/>
              <w:spacing w:line="276" w:lineRule="auto"/>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企业业绩</w:t>
            </w:r>
          </w:p>
          <w:p w14:paraId="5069A395">
            <w:pPr>
              <w:adjustRightInd w:val="0"/>
              <w:snapToGrid w:val="0"/>
              <w:spacing w:line="276" w:lineRule="auto"/>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（30分）</w:t>
            </w:r>
          </w:p>
        </w:tc>
        <w:tc>
          <w:tcPr>
            <w:tcW w:w="7616" w:type="dxa"/>
            <w:tcMar>
              <w:top w:w="0" w:type="dxa"/>
              <w:left w:w="0" w:type="dxa"/>
              <w:bottom w:w="0" w:type="dxa"/>
              <w:right w:w="0" w:type="dxa"/>
            </w:tcMar>
            <w:vAlign w:val="center"/>
          </w:tcPr>
          <w:p w14:paraId="4601396C">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jc w:val="both"/>
              <w:rPr>
                <w:rFonts w:hint="eastAsia" w:ascii="Times New Roman" w:hAnsi="Times New Roman" w:eastAsia="仿宋_GB2312" w:cs="Times New Roman"/>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1.近3年（投标截止之日前36个月，合同签订时间为准）承接过“公共资源/特许经营权类价值评估”项目的，每项得5分，本项最高得15分。</w:t>
            </w:r>
            <w:r>
              <w:rPr>
                <w:rFonts w:hint="default" w:ascii="Times New Roman" w:hAnsi="Times New Roman" w:eastAsia="仿宋_GB2312" w:cs="Times New Roman"/>
                <w:sz w:val="32"/>
                <w:szCs w:val="32"/>
                <w:highlight w:val="none"/>
                <w:lang w:val="en-US" w:eastAsia="zh-CN"/>
              </w:rPr>
              <w:t>（</w:t>
            </w:r>
            <w:r>
              <w:rPr>
                <w:rFonts w:hint="default" w:ascii="仿宋_GB2312" w:hAnsi="仿宋_GB2312" w:eastAsia="仿宋_GB2312" w:cs="仿宋_GB2312"/>
                <w:sz w:val="32"/>
                <w:szCs w:val="32"/>
                <w:highlight w:val="none"/>
                <w:lang w:val="en-US" w:eastAsia="zh-CN"/>
              </w:rPr>
              <w:t>时间以合同签订时间为准，需</w:t>
            </w:r>
            <w:r>
              <w:rPr>
                <w:rFonts w:hint="eastAsia" w:ascii="仿宋_GB2312" w:hAnsi="仿宋_GB2312" w:eastAsia="仿宋_GB2312" w:cs="仿宋_GB2312"/>
                <w:sz w:val="32"/>
                <w:szCs w:val="32"/>
                <w:highlight w:val="none"/>
                <w:lang w:val="en-US" w:eastAsia="zh-CN"/>
              </w:rPr>
              <w:t>提供</w:t>
            </w:r>
            <w:r>
              <w:rPr>
                <w:rFonts w:hint="default" w:ascii="仿宋_GB2312" w:hAnsi="仿宋_GB2312" w:eastAsia="仿宋_GB2312" w:cs="仿宋_GB2312"/>
                <w:sz w:val="32"/>
                <w:szCs w:val="32"/>
                <w:highlight w:val="none"/>
                <w:lang w:val="en-US" w:eastAsia="zh-CN"/>
              </w:rPr>
              <w:t>合同、资产评估业务报告备案回执</w:t>
            </w:r>
            <w:r>
              <w:rPr>
                <w:rFonts w:hint="eastAsia" w:ascii="仿宋_GB2312" w:hAnsi="仿宋_GB2312" w:eastAsia="仿宋_GB2312" w:cs="仿宋_GB2312"/>
                <w:sz w:val="32"/>
                <w:szCs w:val="32"/>
                <w:highlight w:val="none"/>
                <w:lang w:val="en-US" w:eastAsia="zh-CN"/>
              </w:rPr>
              <w:t>、报告摘要、</w:t>
            </w:r>
            <w:r>
              <w:rPr>
                <w:rFonts w:hint="default" w:ascii="仿宋_GB2312" w:hAnsi="仿宋_GB2312" w:eastAsia="仿宋_GB2312" w:cs="仿宋_GB2312"/>
                <w:sz w:val="32"/>
                <w:szCs w:val="32"/>
                <w:highlight w:val="none"/>
                <w:lang w:val="en-US" w:eastAsia="zh-CN"/>
              </w:rPr>
              <w:t>盖章签字页扫描件）</w:t>
            </w:r>
            <w:r>
              <w:rPr>
                <w:rFonts w:hint="eastAsia" w:ascii="Times New Roman" w:hAnsi="Times New Roman" w:eastAsia="仿宋_GB2312" w:cs="Times New Roman"/>
                <w:sz w:val="32"/>
                <w:szCs w:val="32"/>
                <w:highlight w:val="none"/>
                <w:lang w:val="en-US" w:eastAsia="zh-CN"/>
              </w:rPr>
              <w:t>；</w:t>
            </w:r>
          </w:p>
          <w:p w14:paraId="05887978">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jc w:val="both"/>
              <w:rPr>
                <w:rFonts w:hint="eastAsia" w:ascii="Times New Roman" w:hAnsi="Times New Roman" w:eastAsia="仿宋_GB2312" w:cs="Times New Roman"/>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2.</w:t>
            </w:r>
            <w:r>
              <w:rPr>
                <w:rFonts w:hint="eastAsia" w:ascii="仿宋_GB2312" w:hAnsi="仿宋_GB2312" w:eastAsia="仿宋_GB2312" w:cs="仿宋_GB2312"/>
                <w:sz w:val="32"/>
                <w:szCs w:val="32"/>
                <w:highlight w:val="none"/>
                <w:lang w:val="en-US" w:eastAsia="zh-CN"/>
              </w:rPr>
              <w:t>近3年（</w:t>
            </w:r>
            <w:r>
              <w:rPr>
                <w:rFonts w:hint="eastAsia" w:ascii="仿宋_GB2312" w:hAnsi="仿宋_GB2312" w:eastAsia="仿宋_GB2312" w:cs="仿宋_GB2312"/>
                <w:color w:val="auto"/>
                <w:sz w:val="32"/>
                <w:szCs w:val="32"/>
                <w:highlight w:val="none"/>
                <w:lang w:val="en-US" w:eastAsia="zh-CN"/>
              </w:rPr>
              <w:t>投标截止之日前36个月，合同签订时间为准</w:t>
            </w:r>
            <w:r>
              <w:rPr>
                <w:rFonts w:hint="eastAsia" w:ascii="仿宋_GB2312" w:hAnsi="仿宋_GB2312" w:eastAsia="仿宋_GB2312" w:cs="仿宋_GB2312"/>
                <w:sz w:val="32"/>
                <w:szCs w:val="32"/>
                <w:highlight w:val="none"/>
                <w:lang w:val="en-US" w:eastAsia="zh-CN"/>
              </w:rPr>
              <w:t>）承接过国资项目资产评估服务的，每项得3分，本项最高得15分。</w:t>
            </w:r>
            <w:r>
              <w:rPr>
                <w:rFonts w:hint="default" w:ascii="Times New Roman" w:hAnsi="Times New Roman" w:eastAsia="仿宋_GB2312" w:cs="Times New Roman"/>
                <w:sz w:val="32"/>
                <w:szCs w:val="32"/>
                <w:highlight w:val="none"/>
                <w:lang w:val="en-US" w:eastAsia="zh-CN"/>
              </w:rPr>
              <w:t>（</w:t>
            </w:r>
            <w:r>
              <w:rPr>
                <w:rFonts w:hint="default" w:ascii="仿宋_GB2312" w:hAnsi="仿宋_GB2312" w:eastAsia="仿宋_GB2312" w:cs="仿宋_GB2312"/>
                <w:sz w:val="32"/>
                <w:szCs w:val="32"/>
                <w:highlight w:val="none"/>
                <w:lang w:val="en-US" w:eastAsia="zh-CN"/>
              </w:rPr>
              <w:t>时间以合同签订时间为准，需</w:t>
            </w:r>
            <w:r>
              <w:rPr>
                <w:rFonts w:hint="eastAsia" w:ascii="仿宋_GB2312" w:hAnsi="仿宋_GB2312" w:eastAsia="仿宋_GB2312" w:cs="仿宋_GB2312"/>
                <w:sz w:val="32"/>
                <w:szCs w:val="32"/>
                <w:highlight w:val="none"/>
                <w:lang w:val="en-US" w:eastAsia="zh-CN"/>
              </w:rPr>
              <w:t>提供</w:t>
            </w:r>
            <w:r>
              <w:rPr>
                <w:rFonts w:hint="default" w:ascii="仿宋_GB2312" w:hAnsi="仿宋_GB2312" w:eastAsia="仿宋_GB2312" w:cs="仿宋_GB2312"/>
                <w:sz w:val="32"/>
                <w:szCs w:val="32"/>
                <w:highlight w:val="none"/>
                <w:lang w:val="en-US" w:eastAsia="zh-CN"/>
              </w:rPr>
              <w:t>合同、资产评估业务报告备案回执</w:t>
            </w:r>
            <w:r>
              <w:rPr>
                <w:rFonts w:hint="eastAsia" w:ascii="仿宋_GB2312" w:hAnsi="仿宋_GB2312" w:eastAsia="仿宋_GB2312" w:cs="仿宋_GB2312"/>
                <w:sz w:val="32"/>
                <w:szCs w:val="32"/>
                <w:highlight w:val="none"/>
                <w:lang w:val="en-US" w:eastAsia="zh-CN"/>
              </w:rPr>
              <w:t>、报告摘要、</w:t>
            </w:r>
            <w:r>
              <w:rPr>
                <w:rFonts w:hint="default" w:ascii="仿宋_GB2312" w:hAnsi="仿宋_GB2312" w:eastAsia="仿宋_GB2312" w:cs="仿宋_GB2312"/>
                <w:sz w:val="32"/>
                <w:szCs w:val="32"/>
                <w:highlight w:val="none"/>
                <w:lang w:val="en-US" w:eastAsia="zh-CN"/>
              </w:rPr>
              <w:t>盖章签字页扫描件</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w:t>
            </w:r>
          </w:p>
          <w:p w14:paraId="37B9645A">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3" w:firstLineChars="200"/>
              <w:jc w:val="both"/>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注意：公共资源/特许经营权类价值资产评估业绩若与通用资产评估业绩属于同类业绩，不重复计算，同一项目仅计为1项有效业绩。</w:t>
            </w:r>
          </w:p>
        </w:tc>
      </w:tr>
      <w:tr w14:paraId="450EA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9" w:hRule="atLeast"/>
          <w:jc w:val="center"/>
        </w:trPr>
        <w:tc>
          <w:tcPr>
            <w:tcW w:w="2083" w:type="dxa"/>
            <w:tcMar>
              <w:top w:w="0" w:type="dxa"/>
              <w:left w:w="0" w:type="dxa"/>
              <w:bottom w:w="0" w:type="dxa"/>
              <w:right w:w="0" w:type="dxa"/>
            </w:tcMar>
            <w:vAlign w:val="center"/>
          </w:tcPr>
          <w:p w14:paraId="5AB7642C">
            <w:pPr>
              <w:adjustRightInd w:val="0"/>
              <w:snapToGrid w:val="0"/>
              <w:spacing w:line="276" w:lineRule="auto"/>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管理机构</w:t>
            </w:r>
          </w:p>
          <w:p w14:paraId="3E9579B3">
            <w:pPr>
              <w:adjustRightInd w:val="0"/>
              <w:snapToGrid w:val="0"/>
              <w:spacing w:line="276" w:lineRule="auto"/>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val="en-US" w:eastAsia="zh-CN"/>
              </w:rPr>
              <w:t>0分）</w:t>
            </w:r>
          </w:p>
        </w:tc>
        <w:tc>
          <w:tcPr>
            <w:tcW w:w="7616" w:type="dxa"/>
            <w:tcMar>
              <w:top w:w="0" w:type="dxa"/>
              <w:left w:w="0" w:type="dxa"/>
              <w:bottom w:w="0" w:type="dxa"/>
              <w:right w:w="0" w:type="dxa"/>
            </w:tcMar>
            <w:vAlign w:val="center"/>
          </w:tcPr>
          <w:p w14:paraId="4B3A9E00">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40" w:firstLineChars="200"/>
              <w:jc w:val="both"/>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1.投标人具备资格要求基础上，另外具有证券期货相关业务评估资格相关备案的，得4分</w:t>
            </w:r>
            <w:r>
              <w:rPr>
                <w:rFonts w:hint="eastAsia" w:ascii="Times New Roman" w:hAnsi="Times New Roman" w:eastAsia="仿宋_GB2312" w:cs="Times New Roman"/>
                <w:sz w:val="32"/>
                <w:szCs w:val="32"/>
                <w:highlight w:val="none"/>
                <w:lang w:val="en-US" w:eastAsia="zh-CN"/>
              </w:rPr>
              <w:t>；</w:t>
            </w:r>
          </w:p>
          <w:p w14:paraId="5E800CF9">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2.在具备3名及以上执业年限满3年的资产评估师的基础上，每增加1人得4分，满分16分（执业年限满3年的资产评估师不足3名得0分，增加评估师人数需具备1-2及以上执业经验)。</w:t>
            </w:r>
          </w:p>
          <w:p w14:paraId="7E56EFD5">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jc w:val="both"/>
              <w:rPr>
                <w:rFonts w:hint="default" w:ascii="仿宋_GB2312" w:hAnsi="仿宋_GB2312" w:eastAsia="仿宋_GB2312" w:cs="仿宋_GB2312"/>
                <w:sz w:val="32"/>
                <w:szCs w:val="32"/>
                <w:highlight w:val="none"/>
                <w:lang w:val="en-US" w:eastAsia="zh-CN"/>
              </w:rPr>
            </w:pPr>
            <w:r>
              <w:rPr>
                <w:rFonts w:hint="default" w:ascii="Times New Roman" w:hAnsi="Times New Roman" w:eastAsia="仿宋_GB2312" w:cs="Times New Roman"/>
                <w:b/>
                <w:bCs/>
                <w:sz w:val="32"/>
                <w:szCs w:val="32"/>
                <w:lang w:val="en-US" w:eastAsia="zh-CN"/>
              </w:rPr>
              <w:t>（</w:t>
            </w:r>
            <w:r>
              <w:rPr>
                <w:rFonts w:hint="eastAsia" w:ascii="仿宋_GB2312" w:hAnsi="仿宋_GB2312" w:eastAsia="仿宋_GB2312" w:cs="仿宋_GB2312"/>
                <w:b/>
                <w:bCs/>
                <w:kern w:val="2"/>
                <w:sz w:val="32"/>
                <w:szCs w:val="32"/>
                <w:lang w:val="en-US" w:eastAsia="zh-CN" w:bidi="ar-SA"/>
              </w:rPr>
              <w:t>需提供劳动合同、半年内社保等证明材料及证书复印件</w:t>
            </w:r>
            <w:r>
              <w:rPr>
                <w:rFonts w:hint="default" w:ascii="Times New Roman" w:hAnsi="Times New Roman" w:eastAsia="仿宋_GB2312" w:cs="Times New Roman"/>
                <w:b/>
                <w:bCs/>
                <w:sz w:val="32"/>
                <w:szCs w:val="32"/>
                <w:lang w:val="en-US" w:eastAsia="zh-CN"/>
              </w:rPr>
              <w:t>）</w:t>
            </w:r>
          </w:p>
        </w:tc>
      </w:tr>
    </w:tbl>
    <w:p w14:paraId="247F0E9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val="zh-CN" w:eastAsia="zh-CN"/>
        </w:rPr>
        <w:t>）推荐</w:t>
      </w:r>
      <w:r>
        <w:rPr>
          <w:rFonts w:hint="eastAsia" w:ascii="仿宋_GB2312" w:hAnsi="仿宋_GB2312" w:eastAsia="仿宋_GB2312" w:cs="仿宋_GB2312"/>
          <w:b/>
          <w:bCs/>
          <w:sz w:val="32"/>
          <w:szCs w:val="32"/>
          <w:lang w:val="en-US" w:eastAsia="zh-CN"/>
        </w:rPr>
        <w:t>中标</w:t>
      </w:r>
      <w:r>
        <w:rPr>
          <w:rFonts w:hint="eastAsia" w:ascii="仿宋_GB2312" w:hAnsi="仿宋_GB2312" w:eastAsia="仿宋_GB2312" w:cs="仿宋_GB2312"/>
          <w:b/>
          <w:bCs/>
          <w:sz w:val="32"/>
          <w:szCs w:val="32"/>
          <w:lang w:val="zh-CN" w:eastAsia="zh-CN"/>
        </w:rPr>
        <w:t>候选人</w:t>
      </w:r>
    </w:p>
    <w:p w14:paraId="50C5D9B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采用综合评分法，按照得分由高到低确定候选人</w:t>
      </w:r>
      <w:r>
        <w:rPr>
          <w:rFonts w:hint="eastAsia" w:ascii="仿宋" w:hAnsi="仿宋" w:eastAsia="仿宋" w:cs="仿宋"/>
          <w:sz w:val="32"/>
          <w:szCs w:val="32"/>
          <w:highlight w:val="none"/>
          <w:lang w:val="en-US" w:eastAsia="zh-CN"/>
        </w:rPr>
        <w:t>。</w:t>
      </w:r>
    </w:p>
    <w:p w14:paraId="53E76669">
      <w:pPr>
        <w:pStyle w:val="11"/>
        <w:spacing w:before="100" w:after="100"/>
        <w:ind w:left="0" w:leftChars="0" w:firstLine="0" w:firstLineChars="0"/>
        <w:rPr>
          <w:rFonts w:hint="default" w:eastAsia="仿宋_GB2312"/>
          <w:sz w:val="32"/>
          <w:szCs w:val="32"/>
          <w:lang w:eastAsia="zh-CN"/>
        </w:rPr>
      </w:pPr>
      <w:r>
        <w:rPr>
          <w:rFonts w:hint="eastAsia" w:ascii="仿宋" w:hAnsi="仿宋" w:eastAsia="仿宋" w:cs="仿宋"/>
          <w:sz w:val="32"/>
          <w:szCs w:val="32"/>
          <w:highlight w:val="none"/>
          <w:lang w:val="en-US" w:eastAsia="zh-CN"/>
        </w:rPr>
        <w:t>附件3：</w:t>
      </w:r>
    </w:p>
    <w:p w14:paraId="4E584703">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廉洁</w:t>
      </w:r>
      <w:r>
        <w:rPr>
          <w:rFonts w:hint="eastAsia" w:ascii="方正小标宋简体" w:hAnsi="方正小标宋简体" w:eastAsia="方正小标宋简体" w:cs="方正小标宋简体"/>
          <w:sz w:val="44"/>
          <w:szCs w:val="44"/>
          <w:lang w:val="en-US" w:eastAsia="zh-CN"/>
        </w:rPr>
        <w:t>自</w:t>
      </w:r>
      <w:r>
        <w:rPr>
          <w:rFonts w:hint="eastAsia" w:ascii="方正小标宋简体" w:hAnsi="方正小标宋简体" w:eastAsia="方正小标宋简体" w:cs="方正小标宋简体"/>
          <w:sz w:val="44"/>
          <w:szCs w:val="44"/>
        </w:rPr>
        <w:t>律承诺书</w:t>
      </w:r>
    </w:p>
    <w:p w14:paraId="00289056">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rPr>
      </w:pPr>
    </w:p>
    <w:p w14:paraId="08735F8C">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公司</w:t>
      </w:r>
    </w:p>
    <w:p w14:paraId="0044B5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为维护公平竞争的市场环境，确保经济活动的廉洁性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合法性和透明度，防止任何形式的不正当交易及腐败行为，</w:t>
      </w:r>
      <w:r>
        <w:rPr>
          <w:rFonts w:hint="eastAsia" w:ascii="仿宋_GB2312" w:hAnsi="仿宋_GB2312" w:eastAsia="仿宋_GB2312" w:cs="仿宋_GB2312"/>
          <w:color w:val="auto"/>
          <w:sz w:val="32"/>
          <w:szCs w:val="32"/>
          <w:lang w:val="en-US" w:eastAsia="zh-CN"/>
        </w:rPr>
        <w:t>我单位作为投标人，郑重</w:t>
      </w:r>
      <w:r>
        <w:rPr>
          <w:rFonts w:hint="eastAsia" w:ascii="仿宋_GB2312" w:hAnsi="仿宋_GB2312" w:eastAsia="仿宋_GB2312" w:cs="仿宋_GB2312"/>
          <w:color w:val="auto"/>
          <w:sz w:val="32"/>
          <w:szCs w:val="32"/>
        </w:rPr>
        <w:t>承诺</w:t>
      </w:r>
      <w:r>
        <w:rPr>
          <w:rFonts w:hint="eastAsia" w:ascii="仿宋_GB2312" w:hAnsi="仿宋_GB2312" w:eastAsia="仿宋_GB2312" w:cs="仿宋_GB2312"/>
          <w:color w:val="auto"/>
          <w:sz w:val="32"/>
          <w:szCs w:val="32"/>
          <w:lang w:val="en-US" w:eastAsia="zh-CN"/>
        </w:rPr>
        <w:t>如下</w:t>
      </w:r>
      <w:r>
        <w:rPr>
          <w:rFonts w:hint="eastAsia" w:ascii="仿宋_GB2312" w:hAnsi="仿宋_GB2312" w:eastAsia="仿宋_GB2312" w:cs="仿宋_GB2312"/>
          <w:color w:val="auto"/>
          <w:sz w:val="32"/>
          <w:szCs w:val="32"/>
        </w:rPr>
        <w:t>:</w:t>
      </w:r>
    </w:p>
    <w:p w14:paraId="25399331">
      <w:pPr>
        <w:pStyle w:val="15"/>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严格遵守国家及地方关于招投标、市场竞争的相关法律法规，不使用不正当手段妨碍、排挤相关投标单位或串通投标</w:t>
      </w:r>
      <w:r>
        <w:rPr>
          <w:rFonts w:hint="eastAsia" w:ascii="仿宋_GB2312" w:hAnsi="仿宋_GB2312" w:eastAsia="仿宋_GB2312" w:cs="仿宋_GB2312"/>
          <w:color w:val="auto"/>
          <w:sz w:val="32"/>
          <w:szCs w:val="32"/>
          <w:lang w:eastAsia="zh-CN"/>
        </w:rPr>
        <w:t>。</w:t>
      </w:r>
    </w:p>
    <w:p w14:paraId="3327FFDF">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2.不以任何形式(包括但不限于现金、礼品、有价证券回扣、佣金、提供旅游、娱乐活动等)向招标人员、评标专家或其他</w:t>
      </w:r>
      <w:r>
        <w:rPr>
          <w:rFonts w:hint="eastAsia" w:ascii="仿宋_GB2312" w:hAnsi="仿宋_GB2312" w:eastAsia="仿宋_GB2312" w:cs="仿宋_GB2312"/>
          <w:color w:val="auto"/>
          <w:sz w:val="32"/>
          <w:szCs w:val="32"/>
          <w:lang w:val="en-US" w:eastAsia="zh-CN"/>
        </w:rPr>
        <w:t>利害关系方</w:t>
      </w:r>
      <w:r>
        <w:rPr>
          <w:rFonts w:hint="eastAsia" w:ascii="仿宋_GB2312" w:hAnsi="仿宋_GB2312" w:eastAsia="仿宋_GB2312" w:cs="仿宋_GB2312"/>
          <w:color w:val="auto"/>
          <w:sz w:val="32"/>
          <w:szCs w:val="32"/>
        </w:rPr>
        <w:t>进行贿赂或给予不正当利益。</w:t>
      </w:r>
    </w:p>
    <w:p w14:paraId="18D360C4">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3.不进行任何可能影响招标公平、公正的活动或尝试干预评标过程。</w:t>
      </w:r>
    </w:p>
    <w:p w14:paraId="07240C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如违反上述承诺，我单位愿意接受包括但不限于取消投标资格、中标无效、列入不良行为记录名单等，给招标单位造成损失的，依法承担赔偿责任。</w:t>
      </w:r>
    </w:p>
    <w:p w14:paraId="35CDAF40">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特此承诺。</w:t>
      </w:r>
    </w:p>
    <w:p w14:paraId="60BC4C47">
      <w:pPr>
        <w:ind w:firstLine="6400" w:firstLineChars="2000"/>
        <w:rPr>
          <w:rFonts w:hint="eastAsia" w:ascii="仿宋_GB2312" w:hAnsi="仿宋_GB2312" w:eastAsia="仿宋_GB2312" w:cs="仿宋_GB2312"/>
          <w:sz w:val="32"/>
          <w:szCs w:val="32"/>
        </w:rPr>
      </w:pPr>
    </w:p>
    <w:p w14:paraId="735B58AF">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单位名称(盖章)</w:t>
      </w:r>
    </w:p>
    <w:p w14:paraId="76ABF16A">
      <w:pPr>
        <w:ind w:firstLine="4160" w:firstLineChars="13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日期:</w:t>
      </w:r>
    </w:p>
    <w:p w14:paraId="4947CEA1">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sz w:val="32"/>
          <w:szCs w:val="32"/>
          <w:highlight w:val="yellow"/>
          <w:lang w:val="en-US" w:eastAsia="zh-CN"/>
        </w:rPr>
      </w:pPr>
    </w:p>
    <w:p w14:paraId="1EE01C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b w:val="0"/>
          <w:bCs/>
          <w:sz w:val="32"/>
          <w:szCs w:val="32"/>
          <w:highlight w:val="none"/>
          <w:lang w:val="en-US" w:eastAsia="zh-CN"/>
        </w:rPr>
      </w:pPr>
    </w:p>
    <w:p w14:paraId="326A8D80"/>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AEC97">
    <w:pPr>
      <w:pStyle w:val="9"/>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B3B86D7">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sZ3ELcMBAACHAwAADgAAAAAAAAABACAAAAAfAQAAZHJzL2Uyb0RvYy54bWxQ&#10;SwUGAAAAAAYABgBZAQAAVAUAAAAA&#10;">
              <v:fill on="f" focussize="0,0"/>
              <v:stroke on="f"/>
              <v:imagedata o:title=""/>
              <o:lock v:ext="edit" aspectratio="f"/>
              <v:textbox inset="0mm,0mm,0mm,0mm" style="mso-fit-shape-to-text:t;">
                <w:txbxContent>
                  <w:p w14:paraId="4B3B86D7">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3"/>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i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740AE5"/>
    <w:rsid w:val="1D3F2508"/>
    <w:rsid w:val="1F7D6E36"/>
    <w:rsid w:val="21E81AAB"/>
    <w:rsid w:val="437A718B"/>
    <w:rsid w:val="70622071"/>
    <w:rsid w:val="7CEB7477"/>
    <w:rsid w:val="7E624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3">
    <w:name w:val="Default Paragraph Font"/>
    <w:qFormat/>
    <w:uiPriority w:val="0"/>
    <w:rPr>
      <w:rFonts w:ascii="Calibri" w:hAnsi="Calibri" w:eastAsia="仿宋_GB2312"/>
      <w:sz w:val="32"/>
    </w:rPr>
  </w:style>
  <w:style w:type="table" w:default="1" w:styleId="12">
    <w:name w:val="Normal Table"/>
    <w:qFormat/>
    <w:uiPriority w:val="0"/>
    <w:tblPr>
      <w:tblCellMar>
        <w:top w:w="0" w:type="dxa"/>
        <w:left w:w="108" w:type="dxa"/>
        <w:bottom w:w="0" w:type="dxa"/>
        <w:right w:w="108" w:type="dxa"/>
      </w:tblCellMar>
    </w:tblPr>
  </w:style>
  <w:style w:type="paragraph" w:styleId="2">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4">
    <w:name w:val="Body Text"/>
    <w:basedOn w:val="1"/>
    <w:next w:val="5"/>
    <w:qFormat/>
    <w:uiPriority w:val="99"/>
    <w:pPr>
      <w:spacing w:after="120"/>
    </w:pPr>
  </w:style>
  <w:style w:type="paragraph" w:styleId="5">
    <w:name w:val="Body Text 2"/>
    <w:basedOn w:val="1"/>
    <w:qFormat/>
    <w:uiPriority w:val="0"/>
    <w:pPr>
      <w:spacing w:line="480" w:lineRule="auto"/>
    </w:pPr>
    <w:rPr>
      <w:rFonts w:ascii="Times New Roman" w:hAnsi="Times New Roman" w:eastAsia="宋体" w:cs="Times New Roman"/>
    </w:rPr>
  </w:style>
  <w:style w:type="paragraph" w:styleId="6">
    <w:name w:val="Body Text Indent"/>
    <w:basedOn w:val="1"/>
    <w:next w:val="7"/>
    <w:qFormat/>
    <w:uiPriority w:val="0"/>
    <w:pPr>
      <w:adjustRightInd w:val="0"/>
      <w:spacing w:after="120" w:line="360" w:lineRule="atLeast"/>
      <w:ind w:left="420" w:leftChars="200"/>
      <w:jc w:val="left"/>
      <w:textAlignment w:val="baseline"/>
    </w:pPr>
    <w:rPr>
      <w:sz w:val="24"/>
    </w:rPr>
  </w:style>
  <w:style w:type="paragraph" w:styleId="7">
    <w:name w:val="envelope return"/>
    <w:basedOn w:val="1"/>
    <w:qFormat/>
    <w:uiPriority w:val="99"/>
    <w:pPr>
      <w:snapToGrid w:val="0"/>
    </w:pPr>
    <w:rPr>
      <w:rFonts w:ascii="Arial" w:hAnsi="Arial"/>
    </w:rPr>
  </w:style>
  <w:style w:type="paragraph" w:styleId="8">
    <w:name w:val="Plain Text"/>
    <w:basedOn w:val="1"/>
    <w:qFormat/>
    <w:uiPriority w:val="0"/>
    <w:rPr>
      <w:sz w:val="24"/>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Body Text First Indent"/>
    <w:basedOn w:val="4"/>
    <w:next w:val="11"/>
    <w:qFormat/>
    <w:uiPriority w:val="0"/>
    <w:pPr>
      <w:ind w:firstLine="420" w:firstLineChars="100"/>
    </w:pPr>
    <w:rPr>
      <w:rFonts w:ascii="宋体"/>
      <w:kern w:val="0"/>
      <w:sz w:val="34"/>
    </w:rPr>
  </w:style>
  <w:style w:type="paragraph" w:styleId="11">
    <w:name w:val="Body Text First Indent 2"/>
    <w:basedOn w:val="6"/>
    <w:qFormat/>
    <w:uiPriority w:val="99"/>
    <w:pPr>
      <w:ind w:firstLine="420" w:firstLineChars="200"/>
    </w:pPr>
  </w:style>
  <w:style w:type="character" w:styleId="14">
    <w:name w:val="Strong"/>
    <w:basedOn w:val="13"/>
    <w:qFormat/>
    <w:uiPriority w:val="0"/>
    <w:rPr>
      <w:b/>
    </w:rPr>
  </w:style>
  <w:style w:type="paragraph" w:customStyle="1" w:styleId="15">
    <w:name w:val="Body Text First Indent_eaa5abb6-12b6-425c-a111-075586f63c4b"/>
    <w:basedOn w:val="4"/>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1130</Words>
  <Characters>1168</Characters>
  <Paragraphs>92</Paragraphs>
  <TotalTime>0</TotalTime>
  <ScaleCrop>false</ScaleCrop>
  <LinksUpToDate>false</LinksUpToDate>
  <CharactersWithSpaces>1193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2025-08-20T00:22:00Z</dcterms:created>
  <dc:creator>小雨</dc:creator>
  <cp:lastModifiedBy>WPS_1658882146</cp:lastModifiedBy>
  <dcterms:modified xsi:type="dcterms:W3CDTF">2026-09-01T00:38:57Z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714EC72307B74C5F8BAEEBA87988F17E_13</vt:lpwstr>
  </property>
  <property fmtid="{D5CDD505-2E9C-101B-9397-08002B2CF9AE}" pid="4" name="KSOTemplateDocerSaveRecord">
    <vt:lpwstr>eyJoZGlkIjoiNzBkZWY4MjhkZjlkZjRmODUxMDAwMDQxZDE4ZWRlNTgiLCJ1c2VySWQiOiIyMTkyOTcyMzEifQ==</vt:lpwstr>
  </property>
</Properties>
</file>