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4B6BB1">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ascii="仿宋_GB2312" w:hAnsi="仿宋_GB2312" w:eastAsia="仿宋_GB2312" w:cs="仿宋_GB2312"/>
          <w:sz w:val="32"/>
          <w:szCs w:val="32"/>
          <w:highlight w:val="none"/>
          <w:lang w:val="en-US" w:eastAsia="zh-CN"/>
        </w:rPr>
      </w:pPr>
      <w:bookmarkStart w:id="0" w:name="_GoBack"/>
      <w:bookmarkEnd w:id="0"/>
      <w:r>
        <w:rPr>
          <w:rFonts w:hint="eastAsia" w:ascii="仿宋_GB2312" w:hAnsi="仿宋_GB2312" w:eastAsia="仿宋_GB2312" w:cs="仿宋_GB2312"/>
          <w:sz w:val="32"/>
          <w:szCs w:val="32"/>
          <w:highlight w:val="none"/>
          <w:lang w:val="en-US" w:eastAsia="zh-CN"/>
        </w:rPr>
        <w:t>附件1</w:t>
      </w:r>
    </w:p>
    <w:p w14:paraId="0AC3BF79">
      <w:pPr>
        <w:shd w:val="clear" w:color="auto" w:fill="auto"/>
        <w:spacing w:line="56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报价单</w:t>
      </w:r>
    </w:p>
    <w:p w14:paraId="3C86F119">
      <w:pPr>
        <w:shd w:val="clear" w:color="auto" w:fill="auto"/>
        <w:spacing w:line="560" w:lineRule="exact"/>
        <w:jc w:val="center"/>
        <w:rPr>
          <w:rFonts w:ascii="仿宋_GB2312" w:hAnsi="仿宋" w:eastAsia="仿宋_GB2312" w:cs="仿宋"/>
          <w:b/>
          <w:sz w:val="32"/>
          <w:szCs w:val="32"/>
        </w:rPr>
      </w:pPr>
    </w:p>
    <w:tbl>
      <w:tblPr>
        <w:tblStyle w:val="14"/>
        <w:tblW w:w="8683" w:type="dxa"/>
        <w:tblInd w:w="0" w:type="dxa"/>
        <w:tblLayout w:type="fixed"/>
        <w:tblCellMar>
          <w:top w:w="15" w:type="dxa"/>
          <w:left w:w="15" w:type="dxa"/>
          <w:bottom w:w="15" w:type="dxa"/>
          <w:right w:w="15" w:type="dxa"/>
        </w:tblCellMar>
      </w:tblPr>
      <w:tblGrid>
        <w:gridCol w:w="3134"/>
        <w:gridCol w:w="5549"/>
      </w:tblGrid>
      <w:tr w14:paraId="4711F552">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vAlign w:val="center"/>
          </w:tcPr>
          <w:p w14:paraId="4AE3F823">
            <w:pPr>
              <w:widowControl/>
              <w:shd w:val="clear" w:color="auto" w:fill="auto"/>
              <w:spacing w:line="560" w:lineRule="exact"/>
              <w:jc w:val="center"/>
              <w:textAlignment w:val="center"/>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项目名称</w:t>
            </w:r>
          </w:p>
        </w:tc>
        <w:tc>
          <w:tcPr>
            <w:tcW w:w="5549" w:type="dxa"/>
            <w:tcBorders>
              <w:top w:val="single" w:color="000000" w:sz="4" w:space="0"/>
              <w:left w:val="single" w:color="000000" w:sz="4" w:space="0"/>
              <w:bottom w:val="single" w:color="000000" w:sz="4" w:space="0"/>
              <w:right w:val="single" w:color="000000" w:sz="4" w:space="0"/>
            </w:tcBorders>
            <w:vAlign w:val="center"/>
          </w:tcPr>
          <w:p w14:paraId="55E744B7">
            <w:pPr>
              <w:keepNext w:val="0"/>
              <w:keepLines w:val="0"/>
              <w:pageBreakBefore w:val="0"/>
              <w:widowControl/>
              <w:shd w:val="clear" w:color="auto" w:fill="auto"/>
              <w:kinsoku/>
              <w:wordWrap/>
              <w:overflowPunct/>
              <w:topLinePunct w:val="0"/>
              <w:autoSpaceDE/>
              <w:autoSpaceDN/>
              <w:bidi w:val="0"/>
              <w:adjustRightInd/>
              <w:snapToGrid/>
              <w:spacing w:line="480" w:lineRule="exact"/>
              <w:jc w:val="center"/>
              <w:textAlignment w:val="center"/>
              <w:rPr>
                <w:rFonts w:hint="default" w:ascii="仿宋_GB2312" w:hAnsi="仿宋_GB2312" w:eastAsia="仿宋_GB2312" w:cs="仿宋_GB2312"/>
                <w:b/>
                <w:color w:val="000000"/>
                <w:sz w:val="24"/>
                <w:szCs w:val="24"/>
                <w:lang w:val="en-US" w:eastAsia="zh-CN"/>
              </w:rPr>
            </w:pPr>
            <w:r>
              <w:rPr>
                <w:rFonts w:hint="default" w:ascii="仿宋_GB2312" w:hAnsi="仿宋_GB2312" w:eastAsia="仿宋_GB2312" w:cs="仿宋_GB2312"/>
                <w:b w:val="0"/>
                <w:bCs/>
                <w:color w:val="000000"/>
                <w:sz w:val="32"/>
                <w:szCs w:val="32"/>
                <w:lang w:val="en-US" w:eastAsia="zh-CN"/>
              </w:rPr>
              <w:t>许昌经济技术开发区道路提升改造项目可行性研究报告编制单位比选</w:t>
            </w:r>
          </w:p>
        </w:tc>
      </w:tr>
      <w:tr w14:paraId="50159FB2">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right w:val="single" w:color="000000" w:sz="4" w:space="0"/>
            </w:tcBorders>
            <w:vAlign w:val="center"/>
          </w:tcPr>
          <w:p w14:paraId="19998E54">
            <w:pPr>
              <w:widowControl/>
              <w:shd w:val="clear" w:color="auto" w:fill="auto"/>
              <w:spacing w:line="560" w:lineRule="exact"/>
              <w:jc w:val="center"/>
              <w:textAlignment w:val="center"/>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申请人</w:t>
            </w:r>
          </w:p>
        </w:tc>
        <w:tc>
          <w:tcPr>
            <w:tcW w:w="5549" w:type="dxa"/>
            <w:tcBorders>
              <w:top w:val="single" w:color="000000" w:sz="4" w:space="0"/>
              <w:left w:val="single" w:color="000000" w:sz="4" w:space="0"/>
              <w:bottom w:val="single" w:color="000000" w:sz="4" w:space="0"/>
              <w:right w:val="single" w:color="000000" w:sz="4" w:space="0"/>
            </w:tcBorders>
            <w:vAlign w:val="center"/>
          </w:tcPr>
          <w:p w14:paraId="2575F16A">
            <w:pPr>
              <w:widowControl/>
              <w:shd w:val="clear" w:color="auto" w:fill="auto"/>
              <w:spacing w:line="560" w:lineRule="exact"/>
              <w:jc w:val="center"/>
              <w:textAlignment w:val="center"/>
              <w:rPr>
                <w:rFonts w:ascii="仿宋_GB2312" w:hAnsi="宋体" w:eastAsia="仿宋_GB2312" w:cs="仿宋_GB2312"/>
                <w:b/>
                <w:color w:val="000000"/>
                <w:sz w:val="32"/>
                <w:szCs w:val="32"/>
              </w:rPr>
            </w:pPr>
          </w:p>
        </w:tc>
      </w:tr>
      <w:tr w14:paraId="5B0191B0">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vAlign w:val="center"/>
          </w:tcPr>
          <w:p w14:paraId="7B319849">
            <w:pPr>
              <w:widowControl/>
              <w:shd w:val="clear" w:color="auto" w:fill="auto"/>
              <w:spacing w:line="560" w:lineRule="exact"/>
              <w:jc w:val="center"/>
              <w:textAlignment w:val="center"/>
              <w:rPr>
                <w:rFonts w:ascii="仿宋_GB2312" w:hAnsi="宋体" w:eastAsia="仿宋_GB2312" w:cs="仿宋_GB2312"/>
                <w:b/>
                <w:color w:val="000000"/>
                <w:kern w:val="0"/>
                <w:sz w:val="32"/>
                <w:szCs w:val="32"/>
                <w:lang w:bidi="ar"/>
              </w:rPr>
            </w:pPr>
            <w:r>
              <w:rPr>
                <w:rFonts w:hint="eastAsia" w:ascii="仿宋_GB2312" w:hAnsi="宋体" w:eastAsia="仿宋_GB2312" w:cs="仿宋_GB2312"/>
                <w:b/>
                <w:color w:val="000000"/>
                <w:kern w:val="0"/>
                <w:sz w:val="32"/>
                <w:szCs w:val="32"/>
                <w:lang w:bidi="ar"/>
              </w:rPr>
              <w:t>申请人资质</w:t>
            </w:r>
          </w:p>
        </w:tc>
        <w:tc>
          <w:tcPr>
            <w:tcW w:w="5549" w:type="dxa"/>
            <w:tcBorders>
              <w:top w:val="single" w:color="000000" w:sz="4" w:space="0"/>
              <w:left w:val="single" w:color="000000" w:sz="4" w:space="0"/>
              <w:bottom w:val="single" w:color="000000" w:sz="4" w:space="0"/>
              <w:right w:val="single" w:color="000000" w:sz="4" w:space="0"/>
            </w:tcBorders>
            <w:vAlign w:val="center"/>
          </w:tcPr>
          <w:p w14:paraId="7DEEA926">
            <w:pPr>
              <w:widowControl/>
              <w:shd w:val="clear" w:color="auto" w:fill="auto"/>
              <w:spacing w:line="560" w:lineRule="exact"/>
              <w:jc w:val="center"/>
              <w:textAlignment w:val="center"/>
              <w:rPr>
                <w:rFonts w:ascii="仿宋_GB2312" w:hAnsi="宋体" w:eastAsia="仿宋_GB2312" w:cs="仿宋_GB2312"/>
                <w:b/>
                <w:color w:val="000000"/>
                <w:sz w:val="32"/>
                <w:szCs w:val="32"/>
              </w:rPr>
            </w:pPr>
          </w:p>
        </w:tc>
      </w:tr>
      <w:tr w14:paraId="25AA2DE7">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vAlign w:val="center"/>
          </w:tcPr>
          <w:p w14:paraId="2D7317C4">
            <w:pPr>
              <w:widowControl/>
              <w:shd w:val="clear" w:color="auto" w:fill="auto"/>
              <w:spacing w:line="560" w:lineRule="exact"/>
              <w:jc w:val="center"/>
              <w:textAlignment w:val="center"/>
              <w:rPr>
                <w:rFonts w:ascii="仿宋_GB2312" w:hAnsi="宋体" w:eastAsia="仿宋_GB2312" w:cs="仿宋_GB2312"/>
                <w:b/>
                <w:color w:val="000000"/>
                <w:kern w:val="0"/>
                <w:sz w:val="32"/>
                <w:szCs w:val="32"/>
                <w:lang w:bidi="ar"/>
              </w:rPr>
            </w:pPr>
            <w:r>
              <w:rPr>
                <w:rFonts w:hint="eastAsia" w:ascii="仿宋_GB2312" w:hAnsi="宋体" w:eastAsia="仿宋_GB2312" w:cs="仿宋_GB2312"/>
                <w:b/>
                <w:color w:val="000000"/>
                <w:kern w:val="0"/>
                <w:sz w:val="32"/>
                <w:szCs w:val="32"/>
                <w:lang w:bidi="ar"/>
              </w:rPr>
              <w:t>项目负责人（职务）</w:t>
            </w:r>
          </w:p>
        </w:tc>
        <w:tc>
          <w:tcPr>
            <w:tcW w:w="5549" w:type="dxa"/>
            <w:tcBorders>
              <w:top w:val="single" w:color="000000" w:sz="4" w:space="0"/>
              <w:left w:val="single" w:color="000000" w:sz="4" w:space="0"/>
              <w:bottom w:val="single" w:color="000000" w:sz="4" w:space="0"/>
              <w:right w:val="single" w:color="000000" w:sz="4" w:space="0"/>
            </w:tcBorders>
            <w:vAlign w:val="center"/>
          </w:tcPr>
          <w:p w14:paraId="0FA6C85A">
            <w:pPr>
              <w:widowControl/>
              <w:shd w:val="clear" w:color="auto" w:fill="auto"/>
              <w:spacing w:line="560" w:lineRule="exact"/>
              <w:jc w:val="center"/>
              <w:textAlignment w:val="center"/>
              <w:rPr>
                <w:rFonts w:ascii="仿宋_GB2312" w:hAnsi="宋体" w:eastAsia="仿宋_GB2312" w:cs="仿宋_GB2312"/>
                <w:b/>
                <w:color w:val="000000"/>
                <w:sz w:val="32"/>
                <w:szCs w:val="32"/>
              </w:rPr>
            </w:pPr>
          </w:p>
        </w:tc>
      </w:tr>
      <w:tr w14:paraId="375FA28C">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vAlign w:val="center"/>
          </w:tcPr>
          <w:p w14:paraId="06DF3958">
            <w:pPr>
              <w:widowControl/>
              <w:shd w:val="clear" w:color="auto" w:fill="auto"/>
              <w:spacing w:line="560" w:lineRule="exact"/>
              <w:jc w:val="center"/>
              <w:textAlignment w:val="center"/>
              <w:rPr>
                <w:rFonts w:hint="eastAsia" w:ascii="仿宋_GB2312" w:hAnsi="宋体" w:eastAsia="仿宋_GB2312" w:cs="仿宋_GB2312"/>
                <w:b/>
                <w:color w:val="000000"/>
                <w:kern w:val="0"/>
                <w:sz w:val="32"/>
                <w:szCs w:val="32"/>
                <w:lang w:val="en-US" w:eastAsia="zh-CN" w:bidi="ar"/>
              </w:rPr>
            </w:pPr>
            <w:r>
              <w:rPr>
                <w:rFonts w:hint="eastAsia" w:ascii="仿宋_GB2312" w:hAnsi="宋体" w:eastAsia="仿宋_GB2312" w:cs="仿宋_GB2312"/>
                <w:b/>
                <w:color w:val="000000"/>
                <w:kern w:val="0"/>
                <w:sz w:val="32"/>
                <w:szCs w:val="32"/>
                <w:lang w:val="en-US" w:eastAsia="zh-CN" w:bidi="ar"/>
              </w:rPr>
              <w:t>项目工作内容</w:t>
            </w:r>
          </w:p>
        </w:tc>
        <w:tc>
          <w:tcPr>
            <w:tcW w:w="5549" w:type="dxa"/>
            <w:tcBorders>
              <w:top w:val="single" w:color="000000" w:sz="4" w:space="0"/>
              <w:left w:val="single" w:color="000000" w:sz="4" w:space="0"/>
              <w:bottom w:val="single" w:color="000000" w:sz="4" w:space="0"/>
              <w:right w:val="single" w:color="000000" w:sz="4" w:space="0"/>
            </w:tcBorders>
            <w:vAlign w:val="center"/>
          </w:tcPr>
          <w:p w14:paraId="46A1FF1F">
            <w:pPr>
              <w:widowControl/>
              <w:shd w:val="clear" w:color="auto" w:fill="auto"/>
              <w:spacing w:line="560" w:lineRule="exact"/>
              <w:jc w:val="center"/>
              <w:textAlignment w:val="center"/>
              <w:rPr>
                <w:rFonts w:hint="eastAsia" w:ascii="仿宋_GB2312" w:hAnsi="宋体" w:eastAsia="仿宋_GB2312" w:cs="仿宋_GB2312"/>
                <w:b/>
                <w:color w:val="000000"/>
                <w:kern w:val="0"/>
                <w:sz w:val="32"/>
                <w:szCs w:val="32"/>
                <w:lang w:bidi="ar"/>
              </w:rPr>
            </w:pPr>
          </w:p>
        </w:tc>
      </w:tr>
      <w:tr w14:paraId="31D6B9E1">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vAlign w:val="center"/>
          </w:tcPr>
          <w:p w14:paraId="675508C9">
            <w:pPr>
              <w:widowControl/>
              <w:shd w:val="clear" w:color="auto" w:fill="auto"/>
              <w:spacing w:line="560" w:lineRule="exact"/>
              <w:jc w:val="center"/>
              <w:textAlignment w:val="center"/>
              <w:rPr>
                <w:rFonts w:ascii="仿宋_GB2312" w:hAnsi="宋体" w:eastAsia="仿宋_GB2312" w:cs="仿宋_GB2312"/>
                <w:b/>
                <w:color w:val="000000"/>
                <w:kern w:val="0"/>
                <w:sz w:val="32"/>
                <w:szCs w:val="32"/>
                <w:lang w:bidi="ar"/>
              </w:rPr>
            </w:pPr>
            <w:r>
              <w:rPr>
                <w:rFonts w:hint="eastAsia" w:ascii="仿宋_GB2312" w:hAnsi="宋体" w:eastAsia="仿宋_GB2312" w:cs="仿宋_GB2312"/>
                <w:b/>
                <w:color w:val="000000"/>
                <w:kern w:val="0"/>
                <w:sz w:val="32"/>
                <w:szCs w:val="32"/>
                <w:lang w:bidi="ar"/>
              </w:rPr>
              <w:t>报价</w:t>
            </w:r>
          </w:p>
        </w:tc>
        <w:tc>
          <w:tcPr>
            <w:tcW w:w="5549" w:type="dxa"/>
            <w:tcBorders>
              <w:top w:val="single" w:color="000000" w:sz="4" w:space="0"/>
              <w:left w:val="single" w:color="000000" w:sz="4" w:space="0"/>
              <w:bottom w:val="single" w:color="000000" w:sz="4" w:space="0"/>
              <w:right w:val="single" w:color="000000" w:sz="4" w:space="0"/>
            </w:tcBorders>
            <w:vAlign w:val="center"/>
          </w:tcPr>
          <w:p w14:paraId="43775806">
            <w:pPr>
              <w:widowControl/>
              <w:shd w:val="clear" w:color="auto" w:fill="auto"/>
              <w:spacing w:line="560" w:lineRule="exact"/>
              <w:jc w:val="center"/>
              <w:textAlignment w:val="center"/>
              <w:rPr>
                <w:rFonts w:ascii="仿宋_GB2312" w:hAnsi="宋体" w:eastAsia="仿宋_GB2312" w:cs="仿宋_GB2312"/>
                <w:b/>
                <w:color w:val="000000"/>
                <w:kern w:val="0"/>
                <w:sz w:val="32"/>
                <w:szCs w:val="32"/>
                <w:lang w:val="en-US" w:bidi="ar"/>
              </w:rPr>
            </w:pP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none"/>
                <w:lang w:val="en-US" w:eastAsia="zh-CN"/>
              </w:rPr>
              <w:t>万元（含税）</w:t>
            </w:r>
          </w:p>
        </w:tc>
      </w:tr>
    </w:tbl>
    <w:p w14:paraId="6867FF5C">
      <w:pPr>
        <w:shd w:val="clear" w:color="auto" w:fill="auto"/>
        <w:adjustRightInd w:val="0"/>
        <w:spacing w:line="560" w:lineRule="exact"/>
        <w:ind w:firstLine="640" w:firstLineChars="200"/>
        <w:jc w:val="right"/>
        <w:rPr>
          <w:rFonts w:hint="eastAsia" w:ascii="仿宋_GB2312" w:hAnsi="仿宋_GB2312" w:eastAsia="仿宋_GB2312" w:cs="仿宋_GB2312"/>
          <w:sz w:val="32"/>
          <w:szCs w:val="32"/>
          <w:highlight w:val="none"/>
          <w:lang w:val="en-US" w:eastAsia="zh-CN"/>
        </w:rPr>
      </w:pPr>
    </w:p>
    <w:p w14:paraId="15CB14B1">
      <w:pPr>
        <w:shd w:val="clear" w:color="auto" w:fill="auto"/>
        <w:adjustRightInd w:val="0"/>
        <w:spacing w:line="560" w:lineRule="exact"/>
        <w:ind w:firstLine="640" w:firstLineChars="200"/>
        <w:jc w:val="right"/>
        <w:rPr>
          <w:rFonts w:hint="eastAsia" w:ascii="仿宋_GB2312" w:hAnsi="仿宋_GB2312" w:eastAsia="仿宋_GB2312" w:cs="仿宋_GB2312"/>
          <w:sz w:val="32"/>
          <w:szCs w:val="32"/>
          <w:highlight w:val="none"/>
          <w:lang w:val="en-US" w:eastAsia="zh-CN"/>
        </w:rPr>
      </w:pPr>
    </w:p>
    <w:p w14:paraId="2455A0B4">
      <w:pPr>
        <w:pStyle w:val="3"/>
        <w:ind w:firstLine="5461" w:firstLineChars="17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年    月    日</w:t>
      </w:r>
    </w:p>
    <w:p w14:paraId="1F2E03AC">
      <w:pPr>
        <w:rPr>
          <w:rFonts w:hint="eastAsia" w:ascii="仿宋_GB2312" w:hAnsi="仿宋_GB2312" w:eastAsia="仿宋_GB2312" w:cs="仿宋_GB2312"/>
          <w:sz w:val="32"/>
          <w:szCs w:val="32"/>
          <w:highlight w:val="none"/>
          <w:lang w:val="en-US" w:eastAsia="zh-CN"/>
        </w:rPr>
      </w:pPr>
    </w:p>
    <w:p w14:paraId="75178426">
      <w:pPr>
        <w:rPr>
          <w:rFonts w:hint="eastAsia" w:ascii="仿宋_GB2312" w:hAnsi="仿宋_GB2312" w:eastAsia="仿宋_GB2312" w:cs="仿宋_GB2312"/>
          <w:sz w:val="32"/>
          <w:szCs w:val="32"/>
          <w:highlight w:val="none"/>
          <w:lang w:val="en-US" w:eastAsia="zh-CN"/>
        </w:rPr>
      </w:pPr>
    </w:p>
    <w:p w14:paraId="0ACDEA80">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附件2</w:t>
      </w:r>
    </w:p>
    <w:p w14:paraId="6B9D6935">
      <w:pPr>
        <w:pStyle w:val="7"/>
        <w:spacing w:line="240" w:lineRule="auto"/>
        <w:ind w:firstLine="0" w:firstLineChars="0"/>
        <w:contextualSpacing/>
        <w:jc w:val="center"/>
        <w:rPr>
          <w:rFonts w:hint="eastAsia" w:ascii="方正小标宋简体" w:hAnsi="方正小标宋简体" w:eastAsia="方正小标宋简体" w:cs="方正小标宋简体"/>
          <w:b w:val="0"/>
          <w:bCs/>
          <w:sz w:val="44"/>
          <w:szCs w:val="44"/>
          <w:lang w:val="zh-CN"/>
        </w:rPr>
      </w:pPr>
      <w:r>
        <w:rPr>
          <w:rFonts w:hint="eastAsia" w:ascii="方正小标宋简体" w:hAnsi="方正小标宋简体" w:eastAsia="方正小标宋简体" w:cs="方正小标宋简体"/>
          <w:b w:val="0"/>
          <w:bCs/>
          <w:sz w:val="44"/>
          <w:szCs w:val="44"/>
          <w:lang w:val="zh-CN"/>
        </w:rPr>
        <w:t>评标标准</w:t>
      </w:r>
    </w:p>
    <w:p w14:paraId="188029B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一、资格审查</w:t>
      </w:r>
    </w:p>
    <w:p w14:paraId="3C73923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FF0000"/>
          <w:sz w:val="32"/>
          <w:szCs w:val="32"/>
          <w:lang w:val="zh-CN" w:eastAsia="zh-CN"/>
        </w:rPr>
      </w:pPr>
      <w:r>
        <w:rPr>
          <w:rFonts w:hint="eastAsia" w:ascii="仿宋_GB2312" w:hAnsi="仿宋_GB2312" w:eastAsia="仿宋_GB2312" w:cs="仿宋_GB2312"/>
          <w:sz w:val="32"/>
          <w:szCs w:val="32"/>
          <w:lang w:eastAsia="zh-CN"/>
        </w:rPr>
        <w:t>评审小组对</w:t>
      </w:r>
      <w:r>
        <w:rPr>
          <w:rFonts w:hint="eastAsia" w:ascii="仿宋_GB2312" w:hAnsi="仿宋_GB2312" w:eastAsia="仿宋_GB2312" w:cs="仿宋_GB2312"/>
          <w:sz w:val="32"/>
          <w:szCs w:val="32"/>
          <w:lang w:val="en-US" w:eastAsia="zh-CN"/>
        </w:rPr>
        <w:t>申请</w:t>
      </w:r>
      <w:r>
        <w:rPr>
          <w:rFonts w:hint="eastAsia" w:ascii="仿宋_GB2312" w:hAnsi="仿宋_GB2312" w:eastAsia="仿宋_GB2312" w:cs="仿宋_GB2312"/>
          <w:sz w:val="32"/>
          <w:szCs w:val="32"/>
          <w:lang w:eastAsia="zh-CN"/>
        </w:rPr>
        <w:t>人资格进行检查。</w:t>
      </w:r>
      <w:r>
        <w:rPr>
          <w:rFonts w:hint="eastAsia" w:ascii="仿宋_GB2312" w:hAnsi="仿宋_GB2312" w:eastAsia="仿宋_GB2312" w:cs="仿宋_GB2312"/>
          <w:sz w:val="32"/>
          <w:szCs w:val="32"/>
          <w:lang w:val="zh-CN" w:eastAsia="zh-CN"/>
        </w:rPr>
        <w:t>确定符合资格的</w:t>
      </w:r>
      <w:r>
        <w:rPr>
          <w:rFonts w:hint="eastAsia" w:ascii="仿宋_GB2312" w:hAnsi="仿宋_GB2312" w:eastAsia="仿宋_GB2312" w:cs="仿宋_GB2312"/>
          <w:sz w:val="32"/>
          <w:szCs w:val="32"/>
          <w:lang w:val="en-US" w:eastAsia="zh-CN"/>
        </w:rPr>
        <w:t>申请</w:t>
      </w:r>
      <w:r>
        <w:rPr>
          <w:rFonts w:hint="eastAsia" w:ascii="仿宋_GB2312" w:hAnsi="仿宋_GB2312" w:eastAsia="仿宋_GB2312" w:cs="仿宋_GB2312"/>
          <w:sz w:val="32"/>
          <w:szCs w:val="32"/>
          <w:lang w:val="zh-CN" w:eastAsia="zh-CN"/>
        </w:rPr>
        <w:t>人不少于3</w:t>
      </w:r>
      <w:r>
        <w:rPr>
          <w:rFonts w:hint="eastAsia" w:ascii="仿宋_GB2312" w:hAnsi="仿宋_GB2312" w:eastAsia="仿宋_GB2312" w:cs="仿宋_GB2312"/>
          <w:color w:val="auto"/>
          <w:sz w:val="32"/>
          <w:szCs w:val="32"/>
          <w:lang w:val="zh-CN" w:eastAsia="zh-CN"/>
        </w:rPr>
        <w:t>家后对投标文件进行符合性审查，</w:t>
      </w:r>
      <w:r>
        <w:rPr>
          <w:rFonts w:hint="eastAsia" w:ascii="仿宋_GB2312" w:hAnsi="仿宋_GB2312" w:eastAsia="仿宋_GB2312" w:cs="仿宋_GB2312"/>
          <w:color w:val="auto"/>
          <w:sz w:val="32"/>
          <w:szCs w:val="32"/>
          <w:lang w:val="en-US" w:eastAsia="zh-CN"/>
        </w:rPr>
        <w:t>少于三家则本次评标过程无效</w:t>
      </w:r>
      <w:r>
        <w:rPr>
          <w:rFonts w:hint="eastAsia" w:ascii="仿宋_GB2312" w:hAnsi="仿宋_GB2312" w:eastAsia="仿宋_GB2312" w:cs="仿宋_GB2312"/>
          <w:color w:val="auto"/>
          <w:sz w:val="32"/>
          <w:szCs w:val="32"/>
          <w:lang w:val="zh-CN" w:eastAsia="zh-CN"/>
        </w:rPr>
        <w:t>。</w:t>
      </w:r>
    </w:p>
    <w:p w14:paraId="676C2B4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二、评审</w:t>
      </w:r>
    </w:p>
    <w:p w14:paraId="2554D99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（一）评审方法</w:t>
      </w:r>
    </w:p>
    <w:p w14:paraId="0C10823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本项目采用综合评分法。总分为 100 分。</w:t>
      </w:r>
    </w:p>
    <w:p w14:paraId="1B6C32C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（二）评分办法</w:t>
      </w:r>
    </w:p>
    <w:tbl>
      <w:tblPr>
        <w:tblStyle w:val="14"/>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3"/>
        <w:gridCol w:w="6786"/>
      </w:tblGrid>
      <w:tr w14:paraId="760A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13" w:type="dxa"/>
            <w:vAlign w:val="center"/>
          </w:tcPr>
          <w:p w14:paraId="00AB1D15">
            <w:pPr>
              <w:tabs>
                <w:tab w:val="left" w:pos="1260"/>
              </w:tabs>
              <w:autoSpaceDE w:val="0"/>
              <w:autoSpaceDN w:val="0"/>
              <w:adjustRightInd w:val="0"/>
              <w:snapToGrid w:val="0"/>
              <w:spacing w:line="276" w:lineRule="auto"/>
              <w:jc w:val="center"/>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分值构成</w:t>
            </w:r>
          </w:p>
          <w:p w14:paraId="42D917DF">
            <w:pPr>
              <w:tabs>
                <w:tab w:val="left" w:pos="1260"/>
              </w:tabs>
              <w:autoSpaceDE w:val="0"/>
              <w:autoSpaceDN w:val="0"/>
              <w:adjustRightInd w:val="0"/>
              <w:snapToGrid w:val="0"/>
              <w:spacing w:line="276" w:lineRule="auto"/>
              <w:jc w:val="center"/>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(总分100分)</w:t>
            </w:r>
          </w:p>
        </w:tc>
        <w:tc>
          <w:tcPr>
            <w:tcW w:w="6786" w:type="dxa"/>
            <w:vAlign w:val="center"/>
          </w:tcPr>
          <w:p w14:paraId="43D642DC">
            <w:pPr>
              <w:widowControl/>
              <w:adjustRightInd w:val="0"/>
              <w:snapToGrid w:val="0"/>
              <w:spacing w:line="276" w:lineRule="auto"/>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企业报价：</w:t>
            </w:r>
            <w:r>
              <w:rPr>
                <w:rFonts w:hint="eastAsia" w:ascii="仿宋_GB2312" w:hAnsi="仿宋_GB2312" w:eastAsia="仿宋_GB2312" w:cs="仿宋_GB2312"/>
                <w:sz w:val="32"/>
                <w:szCs w:val="32"/>
                <w:lang w:val="en-US" w:eastAsia="zh-CN"/>
              </w:rPr>
              <w:t xml:space="preserve"> 30 </w:t>
            </w:r>
            <w:r>
              <w:rPr>
                <w:rFonts w:hint="eastAsia" w:ascii="仿宋_GB2312" w:hAnsi="仿宋_GB2312" w:eastAsia="仿宋_GB2312" w:cs="仿宋_GB2312"/>
                <w:sz w:val="32"/>
                <w:szCs w:val="32"/>
                <w:lang w:val="zh-CN"/>
              </w:rPr>
              <w:t>分</w:t>
            </w:r>
          </w:p>
          <w:p w14:paraId="5ECE7139">
            <w:pPr>
              <w:widowControl/>
              <w:adjustRightInd w:val="0"/>
              <w:snapToGrid w:val="0"/>
              <w:spacing w:line="276" w:lineRule="auto"/>
              <w:jc w:val="left"/>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服务方案</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 xml:space="preserve"> 30</w:t>
            </w:r>
            <w:r>
              <w:rPr>
                <w:rFonts w:hint="eastAsia" w:ascii="仿宋_GB2312" w:hAnsi="仿宋_GB2312" w:eastAsia="仿宋_GB2312" w:cs="仿宋_GB2312"/>
                <w:sz w:val="32"/>
                <w:szCs w:val="32"/>
                <w:lang w:val="zh-CN" w:eastAsia="zh-CN"/>
              </w:rPr>
              <w:t xml:space="preserve"> 分</w:t>
            </w:r>
          </w:p>
          <w:p w14:paraId="05F4ACE2">
            <w:pPr>
              <w:widowControl/>
              <w:adjustRightInd w:val="0"/>
              <w:snapToGrid w:val="0"/>
              <w:spacing w:line="276" w:lineRule="auto"/>
              <w:jc w:val="left"/>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企业业绩</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 xml:space="preserve"> 20 </w:t>
            </w:r>
            <w:r>
              <w:rPr>
                <w:rFonts w:hint="eastAsia" w:ascii="仿宋_GB2312" w:hAnsi="仿宋_GB2312" w:eastAsia="仿宋_GB2312" w:cs="仿宋_GB2312"/>
                <w:sz w:val="32"/>
                <w:szCs w:val="32"/>
                <w:lang w:val="zh-CN" w:eastAsia="zh-CN"/>
              </w:rPr>
              <w:t>分</w:t>
            </w:r>
          </w:p>
          <w:p w14:paraId="2852DF9E">
            <w:pPr>
              <w:widowControl/>
              <w:adjustRightInd w:val="0"/>
              <w:snapToGrid w:val="0"/>
              <w:spacing w:line="276" w:lineRule="auto"/>
              <w:jc w:val="left"/>
              <w:rPr>
                <w:rFonts w:hint="eastAsia"/>
                <w:lang w:val="en-US"/>
              </w:rPr>
            </w:pPr>
            <w:r>
              <w:rPr>
                <w:rFonts w:hint="eastAsia" w:ascii="仿宋_GB2312" w:hAnsi="仿宋_GB2312" w:eastAsia="仿宋_GB2312" w:cs="仿宋_GB2312"/>
                <w:sz w:val="32"/>
                <w:szCs w:val="32"/>
                <w:lang w:val="en-US" w:eastAsia="zh-CN"/>
              </w:rPr>
              <w:t>管理机构： 20 分</w:t>
            </w:r>
          </w:p>
        </w:tc>
      </w:tr>
      <w:tr w14:paraId="28445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2913" w:type="dxa"/>
            <w:tcMar>
              <w:top w:w="0" w:type="dxa"/>
              <w:left w:w="0" w:type="dxa"/>
              <w:bottom w:w="0" w:type="dxa"/>
              <w:right w:w="0" w:type="dxa"/>
            </w:tcMar>
            <w:vAlign w:val="center"/>
          </w:tcPr>
          <w:p w14:paraId="7BF29569">
            <w:pPr>
              <w:jc w:val="center"/>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评审项</w:t>
            </w:r>
          </w:p>
        </w:tc>
        <w:tc>
          <w:tcPr>
            <w:tcW w:w="6786" w:type="dxa"/>
            <w:tcMar>
              <w:top w:w="0" w:type="dxa"/>
              <w:left w:w="0" w:type="dxa"/>
              <w:bottom w:w="0" w:type="dxa"/>
              <w:right w:w="0" w:type="dxa"/>
            </w:tcMar>
            <w:vAlign w:val="center"/>
          </w:tcPr>
          <w:p w14:paraId="451D732D">
            <w:pPr>
              <w:jc w:val="center"/>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评标标准</w:t>
            </w:r>
          </w:p>
        </w:tc>
      </w:tr>
      <w:tr w14:paraId="00CF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9" w:hRule="atLeast"/>
          <w:jc w:val="center"/>
        </w:trPr>
        <w:tc>
          <w:tcPr>
            <w:tcW w:w="2913" w:type="dxa"/>
            <w:tcMar>
              <w:top w:w="0" w:type="dxa"/>
              <w:left w:w="0" w:type="dxa"/>
              <w:bottom w:w="0" w:type="dxa"/>
              <w:right w:w="0" w:type="dxa"/>
            </w:tcMar>
            <w:vAlign w:val="center"/>
          </w:tcPr>
          <w:p w14:paraId="0F473F3E">
            <w:pPr>
              <w:adjustRightInd w:val="0"/>
              <w:snapToGrid w:val="0"/>
              <w:spacing w:line="276"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企业</w:t>
            </w:r>
            <w:r>
              <w:rPr>
                <w:rFonts w:hint="eastAsia" w:ascii="仿宋_GB2312" w:hAnsi="仿宋_GB2312" w:eastAsia="仿宋_GB2312" w:cs="仿宋_GB2312"/>
                <w:sz w:val="32"/>
                <w:szCs w:val="32"/>
              </w:rPr>
              <w:t>报价</w:t>
            </w:r>
          </w:p>
          <w:p w14:paraId="5726BDF3">
            <w:pPr>
              <w:adjustRightInd w:val="0"/>
              <w:snapToGrid w:val="0"/>
              <w:spacing w:line="276"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分）</w:t>
            </w:r>
          </w:p>
        </w:tc>
        <w:tc>
          <w:tcPr>
            <w:tcW w:w="6786" w:type="dxa"/>
            <w:tcMar>
              <w:top w:w="0" w:type="dxa"/>
              <w:left w:w="0" w:type="dxa"/>
              <w:bottom w:w="0" w:type="dxa"/>
              <w:right w:w="0" w:type="dxa"/>
            </w:tcMar>
            <w:vAlign w:val="center"/>
          </w:tcPr>
          <w:p w14:paraId="6CE674CF">
            <w:pPr>
              <w:widowControl/>
              <w:adjustRightInd w:val="0"/>
              <w:snapToGrid w:val="0"/>
              <w:spacing w:line="276"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报价超过</w:t>
            </w:r>
            <w:r>
              <w:rPr>
                <w:rFonts w:hint="eastAsia" w:ascii="仿宋_GB2312" w:hAnsi="仿宋_GB2312" w:eastAsia="仿宋_GB2312" w:cs="仿宋_GB2312"/>
                <w:sz w:val="32"/>
                <w:szCs w:val="32"/>
                <w:highlight w:val="none"/>
                <w:lang w:val="en-US" w:eastAsia="zh-CN"/>
              </w:rPr>
              <w:t>8.11</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rPr>
              <w:t>为无效报价；</w:t>
            </w:r>
          </w:p>
          <w:p w14:paraId="5F37A7A6">
            <w:pPr>
              <w:widowControl/>
              <w:adjustRightInd w:val="0"/>
              <w:snapToGrid w:val="0"/>
              <w:spacing w:line="276"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2.所有参与的</w:t>
            </w:r>
            <w:r>
              <w:rPr>
                <w:rFonts w:hint="eastAsia" w:ascii="仿宋_GB2312" w:hAnsi="仿宋_GB2312" w:eastAsia="仿宋_GB2312" w:cs="仿宋_GB2312"/>
                <w:sz w:val="32"/>
                <w:szCs w:val="32"/>
                <w:lang w:eastAsia="zh-CN"/>
              </w:rPr>
              <w:t>比选</w:t>
            </w:r>
            <w:r>
              <w:rPr>
                <w:rFonts w:hint="eastAsia" w:ascii="仿宋_GB2312" w:hAnsi="仿宋_GB2312" w:eastAsia="仿宋_GB2312" w:cs="仿宋_GB2312"/>
                <w:sz w:val="32"/>
                <w:szCs w:val="32"/>
              </w:rPr>
              <w:t>申请人最低的有效报价为基准报价；</w:t>
            </w:r>
          </w:p>
          <w:p w14:paraId="6045B741">
            <w:pPr>
              <w:widowControl/>
              <w:adjustRightInd w:val="0"/>
              <w:snapToGrid w:val="0"/>
              <w:spacing w:line="276"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3.报价得分=（基准报价/报价）×</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0分。</w:t>
            </w:r>
          </w:p>
        </w:tc>
      </w:tr>
      <w:tr w14:paraId="0F3E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2913" w:type="dxa"/>
            <w:tcMar>
              <w:top w:w="0" w:type="dxa"/>
              <w:left w:w="0" w:type="dxa"/>
              <w:bottom w:w="0" w:type="dxa"/>
              <w:right w:w="0" w:type="dxa"/>
            </w:tcMar>
            <w:vAlign w:val="center"/>
          </w:tcPr>
          <w:p w14:paraId="2E75BBB4">
            <w:pPr>
              <w:adjustRightInd w:val="0"/>
              <w:snapToGrid w:val="0"/>
              <w:spacing w:line="276" w:lineRule="auto"/>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服务方案</w:t>
            </w:r>
          </w:p>
          <w:p w14:paraId="05870347">
            <w:pPr>
              <w:adjustRightInd w:val="0"/>
              <w:snapToGrid w:val="0"/>
              <w:spacing w:line="276"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（30分）</w:t>
            </w:r>
          </w:p>
        </w:tc>
        <w:tc>
          <w:tcPr>
            <w:tcW w:w="6786" w:type="dxa"/>
            <w:tcMar>
              <w:top w:w="0" w:type="dxa"/>
              <w:left w:w="0" w:type="dxa"/>
              <w:bottom w:w="0" w:type="dxa"/>
              <w:right w:w="0" w:type="dxa"/>
            </w:tcMar>
            <w:vAlign w:val="center"/>
          </w:tcPr>
          <w:p w14:paraId="1CAB638D">
            <w:pPr>
              <w:widowControl/>
              <w:numPr>
                <w:ilvl w:val="0"/>
                <w:numId w:val="0"/>
              </w:numPr>
              <w:adjustRightInd w:val="0"/>
              <w:snapToGrid w:val="0"/>
              <w:spacing w:line="276" w:lineRule="auto"/>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1.阐述可研编制的工作内容、工作重点、工作方法和工作流程（0-10分）</w:t>
            </w:r>
          </w:p>
          <w:p w14:paraId="27F52EF3">
            <w:pPr>
              <w:widowControl/>
              <w:numPr>
                <w:ilvl w:val="0"/>
                <w:numId w:val="0"/>
              </w:numPr>
              <w:adjustRightInd w:val="0"/>
              <w:snapToGrid w:val="0"/>
              <w:spacing w:line="276" w:lineRule="auto"/>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2.阐述可研编制过程中过程中的风险防控及相应预案（0-10分）</w:t>
            </w:r>
          </w:p>
          <w:p w14:paraId="23E3FD51">
            <w:pPr>
              <w:widowControl/>
              <w:numPr>
                <w:ilvl w:val="0"/>
                <w:numId w:val="0"/>
              </w:numPr>
              <w:adjustRightInd w:val="0"/>
              <w:snapToGrid w:val="0"/>
              <w:spacing w:line="276" w:lineRule="auto"/>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3.保密措施及档案管理制度（0-5分）</w:t>
            </w:r>
          </w:p>
          <w:p w14:paraId="1148E6C4">
            <w:pPr>
              <w:widowControl/>
              <w:numPr>
                <w:ilvl w:val="0"/>
                <w:numId w:val="0"/>
              </w:numPr>
              <w:adjustRightInd w:val="0"/>
              <w:snapToGrid w:val="0"/>
              <w:spacing w:line="276" w:lineRule="auto"/>
              <w:ind w:leftChars="0"/>
              <w:jc w:val="both"/>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4.服务承诺（0-5分）</w:t>
            </w:r>
          </w:p>
        </w:tc>
      </w:tr>
      <w:tr w14:paraId="74D0E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2913" w:type="dxa"/>
            <w:tcMar>
              <w:top w:w="0" w:type="dxa"/>
              <w:left w:w="0" w:type="dxa"/>
              <w:bottom w:w="0" w:type="dxa"/>
              <w:right w:w="0" w:type="dxa"/>
            </w:tcMar>
            <w:vAlign w:val="center"/>
          </w:tcPr>
          <w:p w14:paraId="5644BE41">
            <w:pPr>
              <w:adjustRightInd w:val="0"/>
              <w:snapToGrid w:val="0"/>
              <w:spacing w:line="276" w:lineRule="auto"/>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企业业绩</w:t>
            </w:r>
          </w:p>
          <w:p w14:paraId="2FF270F3">
            <w:pPr>
              <w:adjustRightInd w:val="0"/>
              <w:snapToGrid w:val="0"/>
              <w:spacing w:line="276" w:lineRule="auto"/>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（20分）</w:t>
            </w:r>
          </w:p>
        </w:tc>
        <w:tc>
          <w:tcPr>
            <w:tcW w:w="6786" w:type="dxa"/>
            <w:tcMar>
              <w:top w:w="0" w:type="dxa"/>
              <w:left w:w="0" w:type="dxa"/>
              <w:bottom w:w="0" w:type="dxa"/>
              <w:right w:w="0" w:type="dxa"/>
            </w:tcMar>
            <w:vAlign w:val="center"/>
          </w:tcPr>
          <w:p w14:paraId="378E5F0F">
            <w:pPr>
              <w:adjustRightInd w:val="0"/>
              <w:snapToGrid w:val="0"/>
              <w:spacing w:line="276" w:lineRule="auto"/>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近3年承接过市政</w:t>
            </w:r>
            <w:r>
              <w:rPr>
                <w:rFonts w:hint="eastAsia" w:eastAsia="仿宋_GB2312" w:cs="Times New Roman"/>
                <w:sz w:val="32"/>
                <w:szCs w:val="32"/>
                <w:lang w:val="en-US" w:eastAsia="zh-CN"/>
              </w:rPr>
              <w:t>道路</w:t>
            </w:r>
            <w:r>
              <w:rPr>
                <w:rFonts w:hint="default" w:ascii="Times New Roman" w:hAnsi="Times New Roman" w:eastAsia="仿宋_GB2312" w:cs="Times New Roman"/>
                <w:sz w:val="32"/>
                <w:szCs w:val="32"/>
                <w:lang w:val="en-US" w:eastAsia="zh-CN"/>
              </w:rPr>
              <w:t>类</w:t>
            </w:r>
            <w:r>
              <w:rPr>
                <w:rFonts w:hint="eastAsia" w:ascii="仿宋_GB2312" w:hAnsi="仿宋_GB2312" w:eastAsia="仿宋_GB2312" w:cs="仿宋_GB2312"/>
                <w:sz w:val="32"/>
                <w:szCs w:val="32"/>
                <w:lang w:val="en-US" w:eastAsia="zh-CN"/>
              </w:rPr>
              <w:t>可研报告编制工作并取得批复的，每项得5分，本项最高得20分。</w:t>
            </w:r>
            <w:r>
              <w:rPr>
                <w:rFonts w:hint="default" w:ascii="Times New Roman" w:hAnsi="Times New Roman" w:eastAsia="仿宋_GB2312" w:cs="Times New Roman"/>
                <w:sz w:val="32"/>
                <w:szCs w:val="32"/>
                <w:lang w:val="en-US" w:eastAsia="zh-CN"/>
              </w:rPr>
              <w:t>（需提供可研编制合同</w:t>
            </w:r>
            <w:r>
              <w:rPr>
                <w:rFonts w:hint="eastAsia"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lang w:val="en-US" w:eastAsia="zh-CN"/>
              </w:rPr>
              <w:t>批复</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申请文件中附复印件并加盖公章）</w:t>
            </w:r>
          </w:p>
        </w:tc>
      </w:tr>
      <w:tr w14:paraId="4BF3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2913" w:type="dxa"/>
            <w:tcMar>
              <w:top w:w="0" w:type="dxa"/>
              <w:left w:w="0" w:type="dxa"/>
              <w:bottom w:w="0" w:type="dxa"/>
              <w:right w:w="0" w:type="dxa"/>
            </w:tcMar>
            <w:vAlign w:val="center"/>
          </w:tcPr>
          <w:p w14:paraId="2E49D541">
            <w:pPr>
              <w:adjustRightInd w:val="0"/>
              <w:snapToGrid w:val="0"/>
              <w:spacing w:line="276" w:lineRule="auto"/>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管理机构</w:t>
            </w:r>
          </w:p>
          <w:p w14:paraId="6457D52C">
            <w:pPr>
              <w:adjustRightInd w:val="0"/>
              <w:snapToGrid w:val="0"/>
              <w:spacing w:line="276" w:lineRule="auto"/>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（20分）</w:t>
            </w:r>
          </w:p>
        </w:tc>
        <w:tc>
          <w:tcPr>
            <w:tcW w:w="6786" w:type="dxa"/>
            <w:tcMar>
              <w:top w:w="0" w:type="dxa"/>
              <w:left w:w="0" w:type="dxa"/>
              <w:bottom w:w="0" w:type="dxa"/>
              <w:right w:w="0" w:type="dxa"/>
            </w:tcMar>
            <w:vAlign w:val="center"/>
          </w:tcPr>
          <w:p w14:paraId="0CA98435">
            <w:pPr>
              <w:pageBreakBefore w:val="0"/>
              <w:widowControl/>
              <w:numPr>
                <w:ilvl w:val="0"/>
                <w:numId w:val="2"/>
              </w:numPr>
              <w:kinsoku/>
              <w:wordWrap/>
              <w:overflowPunct/>
              <w:topLinePunct w:val="0"/>
              <w:bidi w:val="0"/>
              <w:adjustRightInd w:val="0"/>
              <w:snapToGrid w:val="0"/>
              <w:spacing w:line="540" w:lineRule="exact"/>
              <w:ind w:left="0" w:leftChars="0" w:right="0" w:rightChars="0"/>
              <w:jc w:val="both"/>
              <w:rPr>
                <w:rFonts w:hint="eastAsia"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w:t>
            </w:r>
            <w:r>
              <w:rPr>
                <w:rFonts w:hint="eastAsia" w:ascii="Times New Roman" w:hAnsi="Times New Roman" w:eastAsia="仿宋_GB2312" w:cs="Times New Roman"/>
                <w:sz w:val="32"/>
                <w:szCs w:val="32"/>
                <w:lang w:val="en-US" w:eastAsia="zh-CN"/>
              </w:rPr>
              <w:t>组</w:t>
            </w:r>
            <w:r>
              <w:rPr>
                <w:rFonts w:hint="eastAsia" w:eastAsia="仿宋_GB2312" w:cs="Times New Roman"/>
                <w:sz w:val="32"/>
                <w:szCs w:val="32"/>
                <w:lang w:val="en-US" w:eastAsia="zh-CN"/>
              </w:rPr>
              <w:t>负责人具备工程相关高级</w:t>
            </w:r>
            <w:r>
              <w:rPr>
                <w:rFonts w:hint="eastAsia" w:eastAsia="仿宋_GB2312" w:cs="Times New Roman"/>
                <w:sz w:val="32"/>
                <w:szCs w:val="32"/>
                <w:lang w:val="zh-CN"/>
              </w:rPr>
              <w:t>（</w:t>
            </w:r>
            <w:r>
              <w:rPr>
                <w:rFonts w:hint="eastAsia" w:eastAsia="仿宋_GB2312" w:cs="Times New Roman"/>
                <w:sz w:val="32"/>
                <w:szCs w:val="32"/>
                <w:lang w:val="en-US" w:eastAsia="zh-CN"/>
              </w:rPr>
              <w:t>含</w:t>
            </w:r>
            <w:r>
              <w:rPr>
                <w:rFonts w:hint="eastAsia" w:eastAsia="仿宋_GB2312" w:cs="Times New Roman"/>
                <w:sz w:val="32"/>
                <w:szCs w:val="32"/>
                <w:lang w:val="zh-CN"/>
              </w:rPr>
              <w:t>）</w:t>
            </w:r>
            <w:r>
              <w:rPr>
                <w:rFonts w:hint="eastAsia" w:eastAsia="仿宋_GB2312" w:cs="Times New Roman"/>
                <w:sz w:val="32"/>
                <w:szCs w:val="32"/>
                <w:lang w:val="en-US" w:eastAsia="zh-CN"/>
              </w:rPr>
              <w:t>以上职称</w:t>
            </w:r>
            <w:r>
              <w:rPr>
                <w:rFonts w:hint="eastAsia" w:eastAsia="仿宋_GB2312" w:cs="Times New Roman"/>
                <w:color w:val="auto"/>
                <w:sz w:val="32"/>
                <w:szCs w:val="32"/>
                <w:lang w:val="en-US" w:eastAsia="zh-CN"/>
              </w:rPr>
              <w:t>得4分；具备注册土木工程师(道路工程)证书得3分；</w:t>
            </w:r>
            <w:r>
              <w:rPr>
                <w:rFonts w:hint="eastAsia" w:eastAsia="仿宋_GB2312" w:cs="Times New Roman"/>
                <w:sz w:val="32"/>
                <w:szCs w:val="32"/>
                <w:lang w:val="en-US" w:eastAsia="zh-CN"/>
              </w:rPr>
              <w:t>二者同时具备得7分，本项最高得7分；</w:t>
            </w:r>
          </w:p>
          <w:p w14:paraId="27CFCD04">
            <w:pPr>
              <w:pageBreakBefore w:val="0"/>
              <w:widowControl/>
              <w:numPr>
                <w:ilvl w:val="0"/>
                <w:numId w:val="0"/>
              </w:numPr>
              <w:kinsoku/>
              <w:wordWrap/>
              <w:overflowPunct/>
              <w:topLinePunct w:val="0"/>
              <w:bidi w:val="0"/>
              <w:adjustRightInd w:val="0"/>
              <w:snapToGrid w:val="0"/>
              <w:spacing w:line="540" w:lineRule="exact"/>
              <w:ind w:right="0" w:rightChars="0"/>
              <w:jc w:val="both"/>
              <w:rPr>
                <w:rFonts w:hint="eastAsia"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2.项目组成员</w:t>
            </w:r>
            <w:r>
              <w:rPr>
                <w:rFonts w:hint="eastAsia" w:ascii="Times New Roman" w:hAnsi="Times New Roman" w:eastAsia="仿宋_GB2312" w:cs="Times New Roman"/>
                <w:sz w:val="32"/>
                <w:szCs w:val="32"/>
                <w:lang w:val="zh-CN"/>
              </w:rPr>
              <w:t>具备</w:t>
            </w:r>
            <w:r>
              <w:rPr>
                <w:rFonts w:hint="eastAsia" w:eastAsia="仿宋_GB2312" w:cs="Times New Roman"/>
                <w:sz w:val="32"/>
                <w:szCs w:val="32"/>
                <w:lang w:val="en-US" w:eastAsia="zh-CN"/>
              </w:rPr>
              <w:t>工程相关</w:t>
            </w:r>
            <w:r>
              <w:rPr>
                <w:rFonts w:hint="default" w:ascii="Times New Roman" w:hAnsi="Times New Roman" w:eastAsia="仿宋_GB2312" w:cs="Times New Roman"/>
                <w:sz w:val="32"/>
                <w:szCs w:val="32"/>
                <w:lang w:val="zh-CN"/>
              </w:rPr>
              <w:t>中级</w:t>
            </w:r>
            <w:r>
              <w:rPr>
                <w:rFonts w:hint="eastAsia" w:eastAsia="仿宋_GB2312" w:cs="Times New Roman"/>
                <w:sz w:val="32"/>
                <w:szCs w:val="32"/>
                <w:lang w:val="zh-CN"/>
              </w:rPr>
              <w:t>（</w:t>
            </w:r>
            <w:r>
              <w:rPr>
                <w:rFonts w:hint="eastAsia" w:eastAsia="仿宋_GB2312" w:cs="Times New Roman"/>
                <w:sz w:val="32"/>
                <w:szCs w:val="32"/>
                <w:lang w:val="en-US" w:eastAsia="zh-CN"/>
              </w:rPr>
              <w:t>含</w:t>
            </w:r>
            <w:r>
              <w:rPr>
                <w:rFonts w:hint="eastAsia" w:eastAsia="仿宋_GB2312" w:cs="Times New Roman"/>
                <w:sz w:val="32"/>
                <w:szCs w:val="32"/>
                <w:lang w:val="zh-CN"/>
              </w:rPr>
              <w:t>）</w:t>
            </w:r>
            <w:r>
              <w:rPr>
                <w:rFonts w:hint="eastAsia" w:eastAsia="仿宋_GB2312" w:cs="Times New Roman"/>
                <w:sz w:val="32"/>
                <w:szCs w:val="32"/>
                <w:lang w:val="en-US" w:eastAsia="zh-CN"/>
              </w:rPr>
              <w:t>以上</w:t>
            </w:r>
            <w:r>
              <w:rPr>
                <w:rFonts w:hint="default" w:ascii="Times New Roman" w:hAnsi="Times New Roman" w:eastAsia="仿宋_GB2312" w:cs="Times New Roman"/>
                <w:sz w:val="32"/>
                <w:szCs w:val="32"/>
                <w:lang w:val="zh-CN"/>
              </w:rPr>
              <w:t>职称</w:t>
            </w:r>
            <w:r>
              <w:rPr>
                <w:rFonts w:hint="eastAsia" w:eastAsia="仿宋_GB2312" w:cs="Times New Roman"/>
                <w:sz w:val="32"/>
                <w:szCs w:val="32"/>
                <w:lang w:val="zh-CN"/>
              </w:rPr>
              <w:t>、</w:t>
            </w:r>
            <w:r>
              <w:rPr>
                <w:rFonts w:hint="eastAsia" w:eastAsia="仿宋_GB2312" w:cs="Times New Roman"/>
                <w:sz w:val="32"/>
                <w:szCs w:val="32"/>
                <w:lang w:val="en-US" w:eastAsia="zh-CN"/>
              </w:rPr>
              <w:t>注册土木工程师(道路工程)证书或者一级注册造价工程师证书的，得2分；具备其中任两项的，得5分；</w:t>
            </w:r>
            <w:r>
              <w:rPr>
                <w:rFonts w:hint="eastAsia" w:ascii="Times New Roman" w:hAnsi="Times New Roman" w:eastAsia="仿宋_GB2312" w:cs="Times New Roman"/>
                <w:sz w:val="32"/>
                <w:szCs w:val="32"/>
                <w:lang w:val="en-US" w:eastAsia="zh-CN"/>
              </w:rPr>
              <w:t>本项最高得</w:t>
            </w:r>
            <w:r>
              <w:rPr>
                <w:rFonts w:hint="eastAsia" w:eastAsia="仿宋_GB2312" w:cs="Times New Roman"/>
                <w:sz w:val="32"/>
                <w:szCs w:val="32"/>
                <w:lang w:val="en-US" w:eastAsia="zh-CN"/>
              </w:rPr>
              <w:t>10</w:t>
            </w:r>
            <w:r>
              <w:rPr>
                <w:rFonts w:hint="eastAsia" w:ascii="Times New Roman" w:hAnsi="Times New Roman" w:eastAsia="仿宋_GB2312" w:cs="Times New Roman"/>
                <w:sz w:val="32"/>
                <w:szCs w:val="32"/>
                <w:lang w:val="en-US" w:eastAsia="zh-CN"/>
              </w:rPr>
              <w:t>分。</w:t>
            </w:r>
          </w:p>
          <w:p w14:paraId="5AAA10C6">
            <w:pPr>
              <w:pStyle w:val="12"/>
              <w:ind w:left="0" w:leftChars="0" w:firstLine="0" w:firstLineChars="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3.项目组人数为5人（含）以上的得3分，本项最高得3分</w:t>
            </w:r>
            <w:r>
              <w:rPr>
                <w:rFonts w:hint="eastAsia" w:ascii="Times New Roman" w:eastAsia="仿宋_GB2312" w:cs="Times New Roman"/>
                <w:kern w:val="2"/>
                <w:sz w:val="32"/>
                <w:szCs w:val="32"/>
                <w:lang w:val="en-US" w:eastAsia="zh-CN" w:bidi="ar-SA"/>
              </w:rPr>
              <w:t>。</w:t>
            </w:r>
          </w:p>
          <w:p w14:paraId="57DE66C8">
            <w:pPr>
              <w:pStyle w:val="12"/>
              <w:ind w:left="0" w:leftChars="0" w:firstLine="0" w:firstLineChars="0"/>
              <w:jc w:val="left"/>
              <w:rPr>
                <w:rFonts w:hint="eastAsia" w:ascii="仿宋_GB2312" w:hAnsi="仿宋_GB2312" w:eastAsia="仿宋_GB2312" w:cs="仿宋_GB2312"/>
                <w:sz w:val="32"/>
                <w:szCs w:val="32"/>
                <w:lang w:val="en-US" w:eastAsia="zh-CN"/>
              </w:rPr>
            </w:pPr>
            <w:r>
              <w:rPr>
                <w:rFonts w:hint="eastAsia" w:eastAsia="仿宋_GB2312" w:cs="Times New Roman"/>
                <w:sz w:val="32"/>
                <w:szCs w:val="32"/>
                <w:lang w:val="en-US" w:eastAsia="zh-CN"/>
              </w:rPr>
              <w:t>（需提劳动合同等证明材料及证书复印件）</w:t>
            </w:r>
          </w:p>
        </w:tc>
      </w:tr>
    </w:tbl>
    <w:p w14:paraId="62A5619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lang w:val="zh-CN" w:eastAsia="zh-CN"/>
        </w:rPr>
        <w:t>）推荐</w:t>
      </w:r>
      <w:r>
        <w:rPr>
          <w:rFonts w:hint="eastAsia" w:ascii="仿宋_GB2312" w:hAnsi="仿宋_GB2312" w:eastAsia="仿宋_GB2312" w:cs="仿宋_GB2312"/>
          <w:b/>
          <w:bCs/>
          <w:sz w:val="32"/>
          <w:szCs w:val="32"/>
          <w:lang w:val="en-US" w:eastAsia="zh-CN"/>
        </w:rPr>
        <w:t>中标</w:t>
      </w:r>
      <w:r>
        <w:rPr>
          <w:rFonts w:hint="eastAsia" w:ascii="仿宋_GB2312" w:hAnsi="仿宋_GB2312" w:eastAsia="仿宋_GB2312" w:cs="仿宋_GB2312"/>
          <w:b/>
          <w:bCs/>
          <w:sz w:val="32"/>
          <w:szCs w:val="32"/>
          <w:lang w:val="zh-CN" w:eastAsia="zh-CN"/>
        </w:rPr>
        <w:t>候选人</w:t>
      </w:r>
    </w:p>
    <w:p w14:paraId="6584B04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_GB2312" w:hAnsi="仿宋_GB2312" w:eastAsia="仿宋_GB2312" w:cs="仿宋_GB2312"/>
          <w:sz w:val="32"/>
          <w:szCs w:val="32"/>
          <w:lang w:eastAsia="zh-CN"/>
        </w:rPr>
        <w:t>比选</w:t>
      </w:r>
      <w:r>
        <w:rPr>
          <w:rFonts w:hint="eastAsia" w:ascii="仿宋_GB2312" w:hAnsi="仿宋_GB2312" w:eastAsia="仿宋_GB2312" w:cs="仿宋_GB2312"/>
          <w:sz w:val="32"/>
          <w:szCs w:val="32"/>
        </w:rPr>
        <w:t>采用综合评分法，按照得分由高到低确定候选人</w:t>
      </w:r>
      <w:r>
        <w:rPr>
          <w:rFonts w:hint="eastAsia" w:ascii="仿宋" w:hAnsi="仿宋" w:eastAsia="仿宋" w:cs="仿宋"/>
          <w:sz w:val="32"/>
          <w:szCs w:val="32"/>
          <w:highlight w:val="none"/>
          <w:lang w:val="en-US" w:eastAsia="zh-CN"/>
        </w:rPr>
        <w:t>。</w:t>
      </w:r>
    </w:p>
    <w:p w14:paraId="360D7884">
      <w:pPr>
        <w:pStyle w:val="12"/>
        <w:rPr>
          <w:rFonts w:hint="eastAsia" w:ascii="仿宋" w:hAnsi="仿宋" w:eastAsia="仿宋" w:cs="仿宋"/>
          <w:sz w:val="32"/>
          <w:szCs w:val="32"/>
          <w:highlight w:val="none"/>
          <w:lang w:val="en-US" w:eastAsia="zh-CN"/>
        </w:rPr>
      </w:pPr>
    </w:p>
    <w:p w14:paraId="1F44D1F9">
      <w:pPr>
        <w:pStyle w:val="13"/>
        <w:ind w:left="0" w:leftChars="0" w:firstLine="0" w:firstLineChars="0"/>
        <w:rPr>
          <w:rFonts w:hint="eastAsia" w:ascii="仿宋" w:hAnsi="仿宋" w:eastAsia="仿宋" w:cs="仿宋"/>
          <w:sz w:val="32"/>
          <w:szCs w:val="32"/>
          <w:highlight w:val="none"/>
          <w:lang w:val="en-US" w:eastAsia="zh-CN"/>
        </w:rPr>
      </w:pPr>
    </w:p>
    <w:p w14:paraId="5C64BB92">
      <w:pPr>
        <w:pStyle w:val="13"/>
        <w:ind w:left="0" w:leftChars="0" w:firstLine="0" w:firstLineChars="0"/>
        <w:rPr>
          <w:rFonts w:hint="eastAsia" w:ascii="仿宋" w:hAnsi="仿宋" w:eastAsia="仿宋" w:cs="仿宋"/>
          <w:sz w:val="32"/>
          <w:szCs w:val="32"/>
          <w:highlight w:val="none"/>
          <w:lang w:val="en-US" w:eastAsia="zh-CN"/>
        </w:rPr>
      </w:pPr>
    </w:p>
    <w:p w14:paraId="481145E4">
      <w:pPr>
        <w:pStyle w:val="13"/>
        <w:ind w:left="0" w:leftChars="0" w:firstLine="0" w:firstLineChars="0"/>
        <w:rPr>
          <w:rFonts w:hint="eastAsia" w:ascii="仿宋" w:hAnsi="仿宋" w:eastAsia="仿宋" w:cs="仿宋"/>
          <w:sz w:val="32"/>
          <w:szCs w:val="32"/>
          <w:highlight w:val="none"/>
          <w:lang w:val="en-US" w:eastAsia="zh-CN"/>
        </w:rPr>
      </w:pPr>
    </w:p>
    <w:p w14:paraId="7366E09F">
      <w:pPr>
        <w:pStyle w:val="13"/>
        <w:spacing w:before="100" w:after="100"/>
        <w:ind w:left="0" w:leftChars="0" w:firstLine="0" w:firstLineChars="0"/>
        <w:rPr>
          <w:rFonts w:hint="eastAsia" w:ascii="仿宋" w:hAnsi="仿宋" w:eastAsia="仿宋" w:cs="仿宋"/>
          <w:sz w:val="32"/>
          <w:szCs w:val="32"/>
          <w:highlight w:val="none"/>
          <w:lang w:val="en-US" w:eastAsia="zh-CN"/>
        </w:rPr>
      </w:pPr>
    </w:p>
    <w:p w14:paraId="526FB38E">
      <w:pPr>
        <w:pStyle w:val="13"/>
        <w:spacing w:before="100" w:after="100"/>
        <w:ind w:left="0" w:leftChars="0" w:firstLine="0" w:firstLineChars="0"/>
        <w:rPr>
          <w:rFonts w:hint="eastAsia" w:ascii="仿宋" w:hAnsi="仿宋" w:eastAsia="仿宋" w:cs="仿宋"/>
          <w:sz w:val="32"/>
          <w:szCs w:val="32"/>
          <w:highlight w:val="none"/>
          <w:lang w:val="en-US" w:eastAsia="zh-CN"/>
        </w:rPr>
      </w:pPr>
    </w:p>
    <w:p w14:paraId="7034331E">
      <w:pPr>
        <w:pStyle w:val="13"/>
        <w:spacing w:before="100" w:after="100"/>
        <w:ind w:left="0" w:leftChars="0" w:firstLine="0" w:firstLineChars="0"/>
        <w:rPr>
          <w:rFonts w:hint="default" w:eastAsia="仿宋_GB2312"/>
          <w:sz w:val="32"/>
          <w:szCs w:val="32"/>
          <w:lang w:eastAsia="zh-CN"/>
        </w:rPr>
      </w:pPr>
      <w:r>
        <w:rPr>
          <w:rFonts w:hint="eastAsia" w:ascii="仿宋" w:hAnsi="仿宋" w:eastAsia="仿宋" w:cs="仿宋"/>
          <w:sz w:val="32"/>
          <w:szCs w:val="32"/>
          <w:highlight w:val="none"/>
          <w:lang w:val="en-US" w:eastAsia="zh-CN"/>
        </w:rPr>
        <w:t>附件3：</w:t>
      </w:r>
    </w:p>
    <w:p w14:paraId="16367063">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廉洁</w:t>
      </w:r>
      <w:r>
        <w:rPr>
          <w:rFonts w:hint="eastAsia" w:ascii="方正小标宋简体" w:hAnsi="方正小标宋简体" w:eastAsia="方正小标宋简体" w:cs="方正小标宋简体"/>
          <w:sz w:val="44"/>
          <w:szCs w:val="44"/>
          <w:lang w:val="en-US" w:eastAsia="zh-CN"/>
        </w:rPr>
        <w:t>自</w:t>
      </w:r>
      <w:r>
        <w:rPr>
          <w:rFonts w:hint="eastAsia" w:ascii="方正小标宋简体" w:hAnsi="方正小标宋简体" w:eastAsia="方正小标宋简体" w:cs="方正小标宋简体"/>
          <w:sz w:val="44"/>
          <w:szCs w:val="44"/>
        </w:rPr>
        <w:t>律承诺书</w:t>
      </w:r>
    </w:p>
    <w:p w14:paraId="7B62322D">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color w:val="auto"/>
          <w:sz w:val="32"/>
          <w:szCs w:val="32"/>
        </w:rPr>
      </w:pPr>
    </w:p>
    <w:p w14:paraId="7C93B7C7">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公司</w:t>
      </w:r>
    </w:p>
    <w:p w14:paraId="39260D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为维护公平竞争的市场环境，确保经济活动的廉洁性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合法性和透明度，防止任何形式的不正当交易及腐败行为，</w:t>
      </w:r>
      <w:r>
        <w:rPr>
          <w:rFonts w:hint="eastAsia" w:ascii="仿宋_GB2312" w:hAnsi="仿宋_GB2312" w:eastAsia="仿宋_GB2312" w:cs="仿宋_GB2312"/>
          <w:color w:val="auto"/>
          <w:sz w:val="32"/>
          <w:szCs w:val="32"/>
          <w:lang w:val="en-US" w:eastAsia="zh-CN"/>
        </w:rPr>
        <w:t>我单位作为投标人，郑重</w:t>
      </w:r>
      <w:r>
        <w:rPr>
          <w:rFonts w:hint="eastAsia" w:ascii="仿宋_GB2312" w:hAnsi="仿宋_GB2312" w:eastAsia="仿宋_GB2312" w:cs="仿宋_GB2312"/>
          <w:color w:val="auto"/>
          <w:sz w:val="32"/>
          <w:szCs w:val="32"/>
        </w:rPr>
        <w:t>承诺</w:t>
      </w:r>
      <w:r>
        <w:rPr>
          <w:rFonts w:hint="eastAsia" w:ascii="仿宋_GB2312" w:hAnsi="仿宋_GB2312" w:eastAsia="仿宋_GB2312" w:cs="仿宋_GB2312"/>
          <w:color w:val="auto"/>
          <w:sz w:val="32"/>
          <w:szCs w:val="32"/>
          <w:lang w:val="en-US" w:eastAsia="zh-CN"/>
        </w:rPr>
        <w:t>如下</w:t>
      </w:r>
      <w:r>
        <w:rPr>
          <w:rFonts w:hint="eastAsia" w:ascii="仿宋_GB2312" w:hAnsi="仿宋_GB2312" w:eastAsia="仿宋_GB2312" w:cs="仿宋_GB2312"/>
          <w:color w:val="auto"/>
          <w:sz w:val="32"/>
          <w:szCs w:val="32"/>
        </w:rPr>
        <w:t>:</w:t>
      </w:r>
    </w:p>
    <w:p w14:paraId="6F8814F3">
      <w:pPr>
        <w:pStyle w:val="18"/>
        <w:keepNext w:val="0"/>
        <w:keepLines w:val="0"/>
        <w:pageBreakBefore w:val="0"/>
        <w:widowControl/>
        <w:numPr>
          <w:ilvl w:val="0"/>
          <w:numId w:val="0"/>
        </w:numPr>
        <w:kinsoku/>
        <w:wordWrap/>
        <w:overflowPunct/>
        <w:topLinePunct w:val="0"/>
        <w:autoSpaceDE/>
        <w:autoSpaceDN/>
        <w:bidi w:val="0"/>
        <w:adjustRightInd w:val="0"/>
        <w:snapToGrid w:val="0"/>
        <w:spacing w:after="0" w:afterLines="0" w:line="560" w:lineRule="exact"/>
        <w:ind w:firstLine="640" w:firstLineChars="2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严格遵守国家及地方关于招投标、市场竞争的相关法律法规，不使用不正当手段妨碍、排挤相关投标单位或串通投标</w:t>
      </w:r>
      <w:r>
        <w:rPr>
          <w:rFonts w:hint="eastAsia" w:ascii="仿宋_GB2312" w:hAnsi="仿宋_GB2312" w:eastAsia="仿宋_GB2312" w:cs="仿宋_GB2312"/>
          <w:color w:val="auto"/>
          <w:sz w:val="32"/>
          <w:szCs w:val="32"/>
          <w:lang w:eastAsia="zh-CN"/>
        </w:rPr>
        <w:t>。</w:t>
      </w:r>
    </w:p>
    <w:p w14:paraId="37CF395B">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2.不以任何形式(包括但不限于现金、礼品、有价证券回扣、佣金、提供旅游、娱乐活动等)向招标人员、评标专家或其他</w:t>
      </w:r>
      <w:r>
        <w:rPr>
          <w:rFonts w:hint="eastAsia" w:ascii="仿宋_GB2312" w:hAnsi="仿宋_GB2312" w:eastAsia="仿宋_GB2312" w:cs="仿宋_GB2312"/>
          <w:color w:val="auto"/>
          <w:sz w:val="32"/>
          <w:szCs w:val="32"/>
          <w:lang w:val="en-US" w:eastAsia="zh-CN"/>
        </w:rPr>
        <w:t>利害关系方</w:t>
      </w:r>
      <w:r>
        <w:rPr>
          <w:rFonts w:hint="eastAsia" w:ascii="仿宋_GB2312" w:hAnsi="仿宋_GB2312" w:eastAsia="仿宋_GB2312" w:cs="仿宋_GB2312"/>
          <w:color w:val="auto"/>
          <w:sz w:val="32"/>
          <w:szCs w:val="32"/>
        </w:rPr>
        <w:t>进行贿赂或给予不正当利益。</w:t>
      </w:r>
    </w:p>
    <w:p w14:paraId="27DA7293">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3.不进行任何可能影响招标公平、公正的活动或尝试干预评标过程。</w:t>
      </w:r>
    </w:p>
    <w:p w14:paraId="614B08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如违反上述承诺，我单位愿意接受包括但不限于取消投标资格、中标无效、列入不良行为记录名单等，给招标单位造成损失的，依法承担赔偿责任。</w:t>
      </w:r>
    </w:p>
    <w:p w14:paraId="4258579C">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特此承诺。</w:t>
      </w:r>
    </w:p>
    <w:p w14:paraId="1EDAB4A9">
      <w:pPr>
        <w:ind w:firstLine="6400" w:firstLineChars="2000"/>
        <w:rPr>
          <w:rFonts w:hint="eastAsia" w:ascii="仿宋_GB2312" w:hAnsi="仿宋_GB2312" w:eastAsia="仿宋_GB2312" w:cs="仿宋_GB2312"/>
          <w:sz w:val="32"/>
          <w:szCs w:val="32"/>
        </w:rPr>
      </w:pPr>
    </w:p>
    <w:p w14:paraId="31D60EB1">
      <w:pPr>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单位名称(盖章)</w:t>
      </w:r>
    </w:p>
    <w:p w14:paraId="285188A2">
      <w:pPr>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w:t>
      </w:r>
    </w:p>
    <w:p w14:paraId="5F937BAE">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仿宋_GB2312" w:hAnsi="仿宋_GB2312" w:eastAsia="仿宋_GB2312" w:cs="仿宋_GB2312"/>
          <w:sz w:val="32"/>
          <w:szCs w:val="32"/>
          <w:highlight w:val="yellow"/>
          <w:lang w:val="en-US" w:eastAsia="zh-CN"/>
        </w:rPr>
      </w:pP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23FA4">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986AC7">
                          <w:pPr>
                            <w:pStyle w:val="8"/>
                            <w:rPr>
                              <w:rFonts w:hint="eastAsia" w:eastAsia="宋体"/>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75986AC7">
                    <w:pPr>
                      <w:pStyle w:val="8"/>
                      <w:rPr>
                        <w:rFonts w:hint="eastAsia" w:eastAsia="宋体"/>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chineseCounting"/>
      <w:pStyle w:val="2"/>
      <w:suff w:val="nothing"/>
      <w:lvlText w:val="第%1章 "/>
      <w:lvlJc w:val="left"/>
      <w:pPr>
        <w:ind w:left="432" w:hanging="432"/>
      </w:pPr>
      <w:rPr>
        <w:rFonts w:hint="eastAsia"/>
      </w:rPr>
    </w:lvl>
    <w:lvl w:ilvl="1" w:tentative="0">
      <w:start w:val="1"/>
      <w:numFmt w:val="decimal"/>
      <w:isLgl/>
      <w:lvlText w:val="%1.%2."/>
      <w:lvlJc w:val="left"/>
      <w:pPr>
        <w:ind w:left="575" w:hanging="575"/>
      </w:pPr>
      <w:rPr>
        <w:rFonts w:hint="eastAsia"/>
      </w:rPr>
    </w:lvl>
    <w:lvl w:ilvl="2" w:tentative="0">
      <w:start w:val="1"/>
      <w:numFmt w:val="decimal"/>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1">
    <w:nsid w:val="672C1A61"/>
    <w:multiLevelType w:val="singleLevel"/>
    <w:tmpl w:val="672C1A61"/>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4NWI0OGVmZWU4ZDY0N2NiNDcwNmU3N2UxMzlkMWIifQ=="/>
    <w:docVar w:name="KSO_WPS_MARK_KEY" w:val="e10be619-05dc-41cf-93cb-fd70e9d7f3f3"/>
  </w:docVars>
  <w:rsids>
    <w:rsidRoot w:val="00172A27"/>
    <w:rsid w:val="033A76CC"/>
    <w:rsid w:val="04760788"/>
    <w:rsid w:val="0477594A"/>
    <w:rsid w:val="065A0AB0"/>
    <w:rsid w:val="07FF36BC"/>
    <w:rsid w:val="0A2C0437"/>
    <w:rsid w:val="0BFD4952"/>
    <w:rsid w:val="0DCD1AE2"/>
    <w:rsid w:val="0F1958F7"/>
    <w:rsid w:val="100B7DD6"/>
    <w:rsid w:val="117E16C8"/>
    <w:rsid w:val="12277102"/>
    <w:rsid w:val="161A5D34"/>
    <w:rsid w:val="16B0371E"/>
    <w:rsid w:val="17A51BCE"/>
    <w:rsid w:val="1AB00E85"/>
    <w:rsid w:val="1CEB654E"/>
    <w:rsid w:val="1DC22489"/>
    <w:rsid w:val="1E420BEB"/>
    <w:rsid w:val="1E6710C6"/>
    <w:rsid w:val="22B94ED1"/>
    <w:rsid w:val="234B5C3C"/>
    <w:rsid w:val="250B339C"/>
    <w:rsid w:val="27BF38CF"/>
    <w:rsid w:val="283F1AED"/>
    <w:rsid w:val="28B62672"/>
    <w:rsid w:val="29E1276B"/>
    <w:rsid w:val="2BC62952"/>
    <w:rsid w:val="2EC3522E"/>
    <w:rsid w:val="309143F1"/>
    <w:rsid w:val="331104CE"/>
    <w:rsid w:val="353A66E5"/>
    <w:rsid w:val="36EC5FD8"/>
    <w:rsid w:val="38CE6A25"/>
    <w:rsid w:val="396F1F22"/>
    <w:rsid w:val="39B06AF4"/>
    <w:rsid w:val="3B930354"/>
    <w:rsid w:val="3BFE6232"/>
    <w:rsid w:val="3D1D6AF8"/>
    <w:rsid w:val="3E5548D7"/>
    <w:rsid w:val="438D7307"/>
    <w:rsid w:val="43B1490D"/>
    <w:rsid w:val="447C4770"/>
    <w:rsid w:val="454A3AE3"/>
    <w:rsid w:val="461026EE"/>
    <w:rsid w:val="464042EF"/>
    <w:rsid w:val="47B42BE7"/>
    <w:rsid w:val="47FB2A68"/>
    <w:rsid w:val="4A3D2009"/>
    <w:rsid w:val="4B2116C3"/>
    <w:rsid w:val="4FDC1809"/>
    <w:rsid w:val="52B50B50"/>
    <w:rsid w:val="58316D81"/>
    <w:rsid w:val="589C7FC2"/>
    <w:rsid w:val="596040BD"/>
    <w:rsid w:val="5CF873CF"/>
    <w:rsid w:val="61215F42"/>
    <w:rsid w:val="629E645C"/>
    <w:rsid w:val="62F72DBF"/>
    <w:rsid w:val="630E58BB"/>
    <w:rsid w:val="63316C99"/>
    <w:rsid w:val="63B41DA5"/>
    <w:rsid w:val="64555C7B"/>
    <w:rsid w:val="655F1E1A"/>
    <w:rsid w:val="678260C8"/>
    <w:rsid w:val="68F608D3"/>
    <w:rsid w:val="6BA97B57"/>
    <w:rsid w:val="6CAC04F4"/>
    <w:rsid w:val="70722F5B"/>
    <w:rsid w:val="70D44079"/>
    <w:rsid w:val="72D31F41"/>
    <w:rsid w:val="75182049"/>
    <w:rsid w:val="768D3F82"/>
    <w:rsid w:val="77E57406"/>
    <w:rsid w:val="79E97840"/>
    <w:rsid w:val="7A101B2E"/>
    <w:rsid w:val="7B3219DB"/>
    <w:rsid w:val="7FD718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numPr>
        <w:ilvl w:val="0"/>
        <w:numId w:val="1"/>
      </w:numPr>
      <w:spacing w:before="100" w:beforeLines="0" w:after="100" w:afterLines="0" w:line="240" w:lineRule="atLeast"/>
      <w:jc w:val="center"/>
      <w:outlineLvl w:val="0"/>
    </w:pPr>
    <w:rPr>
      <w:rFonts w:ascii="Times New Roman" w:hAnsi="Times New Roman"/>
      <w:b/>
      <w:bCs/>
      <w:kern w:val="44"/>
      <w:sz w:val="36"/>
      <w:szCs w:val="44"/>
    </w:rPr>
  </w:style>
  <w:style w:type="paragraph" w:styleId="3">
    <w:name w:val="heading 2"/>
    <w:basedOn w:val="1"/>
    <w:next w:val="1"/>
    <w:qFormat/>
    <w:uiPriority w:val="0"/>
    <w:pPr>
      <w:keepNext/>
      <w:keepLines/>
      <w:spacing w:before="100" w:beforeLines="0" w:beforeAutospacing="0" w:after="100" w:afterLines="0" w:afterAutospacing="0" w:line="240" w:lineRule="auto"/>
      <w:ind w:firstLine="0" w:firstLineChars="0"/>
      <w:outlineLvl w:val="1"/>
    </w:pPr>
    <w:rPr>
      <w:b/>
      <w:sz w:val="32"/>
    </w:rPr>
  </w:style>
  <w:style w:type="character" w:default="1" w:styleId="15">
    <w:name w:val="Default Paragraph Font"/>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jc w:val="center"/>
    </w:pPr>
    <w:rPr>
      <w:rFonts w:ascii="Times New Roman" w:hAnsi="Times New Roman" w:eastAsia="黑体" w:cs="Times New Roman"/>
      <w:sz w:val="36"/>
      <w:szCs w:val="20"/>
    </w:rPr>
  </w:style>
  <w:style w:type="paragraph" w:styleId="5">
    <w:name w:val="Body Text Indent"/>
    <w:basedOn w:val="1"/>
    <w:next w:val="6"/>
    <w:qFormat/>
    <w:uiPriority w:val="99"/>
    <w:pPr>
      <w:spacing w:after="120"/>
      <w:ind w:left="420" w:leftChars="200"/>
    </w:pPr>
  </w:style>
  <w:style w:type="paragraph" w:styleId="6">
    <w:name w:val="envelope return"/>
    <w:unhideWhenUsed/>
    <w:qFormat/>
    <w:uiPriority w:val="99"/>
    <w:pPr>
      <w:widowControl w:val="0"/>
      <w:snapToGrid w:val="0"/>
      <w:jc w:val="both"/>
    </w:pPr>
    <w:rPr>
      <w:rFonts w:ascii="Arial" w:hAnsi="Arial" w:eastAsia="宋体" w:cs="Times New Roman"/>
      <w:kern w:val="2"/>
      <w:sz w:val="21"/>
      <w:szCs w:val="22"/>
      <w:lang w:val="en-US" w:eastAsia="zh-CN" w:bidi="ar-SA"/>
    </w:rPr>
  </w:style>
  <w:style w:type="paragraph" w:styleId="7">
    <w:name w:val="Plain Text"/>
    <w:basedOn w:val="1"/>
    <w:qFormat/>
    <w:uiPriority w:val="0"/>
    <w:rPr>
      <w:sz w:val="24"/>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Body Text 2"/>
    <w:basedOn w:val="1"/>
    <w:qFormat/>
    <w:uiPriority w:val="0"/>
    <w:pPr>
      <w:spacing w:line="480" w:lineRule="auto"/>
    </w:pPr>
    <w:rPr>
      <w:rFonts w:ascii="Times New Roman" w:hAnsi="Times New Roman" w:eastAsia="宋体" w:cs="Times New Roman"/>
    </w:rPr>
  </w:style>
  <w:style w:type="paragraph" w:styleId="11">
    <w:name w:val="Normal (Web)"/>
    <w:basedOn w:val="1"/>
    <w:qFormat/>
    <w:uiPriority w:val="0"/>
    <w:pPr>
      <w:spacing w:before="100" w:beforeLines="0" w:beforeAutospacing="1" w:after="100" w:afterLines="0" w:afterAutospacing="1"/>
      <w:ind w:left="0" w:right="0"/>
      <w:jc w:val="left"/>
    </w:pPr>
    <w:rPr>
      <w:kern w:val="0"/>
      <w:sz w:val="24"/>
      <w:lang w:val="en-US" w:eastAsia="zh-CN" w:bidi="ar"/>
    </w:rPr>
  </w:style>
  <w:style w:type="paragraph" w:styleId="12">
    <w:name w:val="Body Text First Indent"/>
    <w:basedOn w:val="4"/>
    <w:next w:val="13"/>
    <w:qFormat/>
    <w:uiPriority w:val="0"/>
    <w:pPr>
      <w:ind w:firstLine="420" w:firstLineChars="100"/>
    </w:pPr>
    <w:rPr>
      <w:rFonts w:ascii="宋体" w:hAnsi="Times New Roman" w:eastAsia="宋体" w:cs="Times New Roman"/>
      <w:kern w:val="0"/>
      <w:sz w:val="34"/>
      <w:szCs w:val="20"/>
    </w:rPr>
  </w:style>
  <w:style w:type="paragraph" w:styleId="13">
    <w:name w:val="Body Text First Indent 2"/>
    <w:basedOn w:val="5"/>
    <w:qFormat/>
    <w:uiPriority w:val="0"/>
    <w:pPr>
      <w:adjustRightInd w:val="0"/>
      <w:snapToGrid w:val="0"/>
      <w:spacing w:beforeAutospacing="1" w:afterAutospacing="1" w:line="360" w:lineRule="auto"/>
      <w:ind w:left="480" w:firstLine="562" w:firstLineChars="200"/>
      <w:jc w:val="left"/>
    </w:pPr>
    <w:rPr>
      <w:rFonts w:hint="eastAsia" w:ascii="仿宋_GB2312" w:hAnsi="仿宋_GB2312" w:cs="Times New Roman"/>
      <w:szCs w:val="30"/>
      <w:lang w:eastAsia="en-US"/>
    </w:rPr>
  </w:style>
  <w:style w:type="character" w:styleId="16">
    <w:name w:val="Hyperlink"/>
    <w:basedOn w:val="15"/>
    <w:qFormat/>
    <w:uiPriority w:val="0"/>
    <w:rPr>
      <w:color w:val="0000FF"/>
      <w:u w:val="single"/>
    </w:rPr>
  </w:style>
  <w:style w:type="paragraph" w:customStyle="1" w:styleId="17">
    <w:name w:val="List Paragraph1"/>
    <w:basedOn w:val="1"/>
    <w:next w:val="1"/>
    <w:qFormat/>
    <w:uiPriority w:val="0"/>
    <w:pPr>
      <w:widowControl w:val="0"/>
      <w:autoSpaceDE/>
      <w:autoSpaceDN/>
      <w:spacing w:before="0" w:beforeLines="0" w:after="0" w:afterLines="0" w:line="240" w:lineRule="auto"/>
      <w:ind w:left="420" w:firstLine="3748"/>
      <w:jc w:val="both"/>
    </w:pPr>
  </w:style>
  <w:style w:type="paragraph" w:customStyle="1" w:styleId="18">
    <w:name w:val="Body Text First Indent"/>
    <w:basedOn w:val="4"/>
    <w:qFormat/>
    <w:uiPriority w:val="0"/>
    <w:pPr>
      <w:adjustRightInd w:val="0"/>
      <w:spacing w:line="312" w:lineRule="atLeast"/>
      <w:ind w:firstLine="420"/>
      <w:textAlignment w:val="baseline"/>
    </w:pPr>
    <w:rPr>
      <w:kern w:val="0"/>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653</Words>
  <Characters>690</Characters>
  <Lines>0</Lines>
  <Paragraphs>0</Paragraphs>
  <TotalTime>5</TotalTime>
  <ScaleCrop>false</ScaleCrop>
  <LinksUpToDate>false</LinksUpToDate>
  <CharactersWithSpaces>715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WPS_1658882146</cp:lastModifiedBy>
  <cp:lastPrinted>2024-05-20T08:53:00Z</cp:lastPrinted>
  <dcterms:modified xsi:type="dcterms:W3CDTF">2026-09-08T00:12:05Z</dcterms:modified>
  <dc:title>关于许禹供热长输管线项目勘察设计招标代理机构询比采购的邀请函</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CF441B4F16A34C43AB04309DFCA02B51_13</vt:lpwstr>
  </property>
  <property fmtid="{D5CDD505-2E9C-101B-9397-08002B2CF9AE}" pid="4" name="commondata">
    <vt:lpwstr>eyJoZGlkIjoiN2I0NDMxMDhhNzIxZjIxM2FiMjFkZWExNzY4MTY3OTUifQ==</vt:lpwstr>
  </property>
  <property fmtid="{D5CDD505-2E9C-101B-9397-08002B2CF9AE}" pid="5" name="KSOTemplateDocerSaveRecord">
    <vt:lpwstr>eyJoZGlkIjoiZTFmNzMzNzdhMWNhYWQxNjc5Y2FlNDViOTk5MzZjM2EiLCJ1c2VySWQiOiIxNjk0MzU0NCJ9</vt:lpwstr>
  </property>
</Properties>
</file>