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959D8">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仿宋_GB2312" w:cs="Times New Roman"/>
          <w:sz w:val="32"/>
          <w:szCs w:val="32"/>
          <w:highlight w:val="none"/>
          <w:lang w:val="en-US" w:eastAsia="zh-CN"/>
        </w:rPr>
      </w:pPr>
      <w:bookmarkStart w:id="1" w:name="_GoBack"/>
      <w:bookmarkEnd w:id="1"/>
      <w:r>
        <w:rPr>
          <w:rFonts w:hint="default" w:ascii="Times New Roman" w:hAnsi="Times New Roman" w:eastAsia="仿宋_GB2312" w:cs="Times New Roman"/>
          <w:sz w:val="32"/>
          <w:szCs w:val="32"/>
          <w:highlight w:val="none"/>
          <w:lang w:val="en-US" w:eastAsia="zh-CN"/>
        </w:rPr>
        <w:t>附件1</w:t>
      </w:r>
    </w:p>
    <w:p w14:paraId="4BEDC0C1">
      <w:pPr>
        <w:shd w:val="clear" w:color="auto" w:fill="auto"/>
        <w:spacing w:line="560" w:lineRule="exact"/>
        <w:jc w:val="center"/>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报价单</w:t>
      </w:r>
    </w:p>
    <w:p w14:paraId="45E0A01A">
      <w:pPr>
        <w:shd w:val="clear" w:color="auto" w:fill="auto"/>
        <w:spacing w:line="560" w:lineRule="exact"/>
        <w:jc w:val="center"/>
        <w:rPr>
          <w:rFonts w:hint="default" w:ascii="Times New Roman" w:hAnsi="Times New Roman" w:eastAsia="仿宋_GB2312" w:cs="Times New Roman"/>
          <w:b/>
          <w:sz w:val="32"/>
          <w:szCs w:val="32"/>
        </w:rPr>
      </w:pPr>
    </w:p>
    <w:tbl>
      <w:tblPr>
        <w:tblStyle w:val="14"/>
        <w:tblW w:w="8683" w:type="dxa"/>
        <w:tblInd w:w="0" w:type="dxa"/>
        <w:tblLayout w:type="fixed"/>
        <w:tblCellMar>
          <w:top w:w="15" w:type="dxa"/>
          <w:left w:w="15" w:type="dxa"/>
          <w:bottom w:w="15" w:type="dxa"/>
          <w:right w:w="15" w:type="dxa"/>
        </w:tblCellMar>
      </w:tblPr>
      <w:tblGrid>
        <w:gridCol w:w="3200"/>
        <w:gridCol w:w="5483"/>
      </w:tblGrid>
      <w:tr w14:paraId="2BA357DC">
        <w:tblPrEx>
          <w:tblCellMar>
            <w:top w:w="15" w:type="dxa"/>
            <w:left w:w="15" w:type="dxa"/>
            <w:bottom w:w="15" w:type="dxa"/>
            <w:right w:w="15" w:type="dxa"/>
          </w:tblCellMar>
        </w:tblPrEx>
        <w:trPr>
          <w:trHeight w:val="2411"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77991714">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0"/>
                <w:sz w:val="32"/>
                <w:szCs w:val="32"/>
                <w:lang w:bidi="ar"/>
              </w:rPr>
              <w:t>项目名称</w:t>
            </w:r>
          </w:p>
        </w:tc>
        <w:tc>
          <w:tcPr>
            <w:tcW w:w="5483" w:type="dxa"/>
            <w:tcBorders>
              <w:top w:val="single" w:color="000000" w:sz="4" w:space="0"/>
              <w:left w:val="single" w:color="000000" w:sz="4" w:space="0"/>
              <w:bottom w:val="single" w:color="000000" w:sz="4" w:space="0"/>
              <w:right w:val="single" w:color="000000" w:sz="4" w:space="0"/>
            </w:tcBorders>
            <w:vAlign w:val="center"/>
          </w:tcPr>
          <w:p w14:paraId="51D0A99C">
            <w:pPr>
              <w:keepNext w:val="0"/>
              <w:keepLines w:val="0"/>
              <w:pageBreakBefore w:val="0"/>
              <w:widowControl w:val="0"/>
              <w:kinsoku/>
              <w:wordWrap/>
              <w:overflowPunct/>
              <w:topLinePunct w:val="0"/>
              <w:autoSpaceDE/>
              <w:autoSpaceDN/>
              <w:bidi w:val="0"/>
              <w:adjustRightInd/>
              <w:snapToGrid/>
              <w:spacing w:line="580" w:lineRule="exact"/>
              <w:ind w:left="320" w:hanging="320" w:hangingChars="100"/>
              <w:jc w:val="center"/>
              <w:textAlignment w:val="auto"/>
              <w:rPr>
                <w:rFonts w:hint="eastAsia" w:ascii="方正仿宋_GB2312" w:hAnsi="方正仿宋_GB2312" w:eastAsia="方正仿宋_GB2312" w:cs="方正仿宋_GB2312"/>
                <w:b/>
                <w:color w:val="000000"/>
                <w:sz w:val="32"/>
                <w:szCs w:val="32"/>
                <w:lang w:val="en-US" w:eastAsia="zh-CN"/>
              </w:rPr>
            </w:pPr>
            <w:r>
              <w:rPr>
                <w:rFonts w:hint="eastAsia" w:ascii="仿宋_GB2312" w:hAnsi="仿宋_GB2312" w:eastAsia="仿宋_GB2312" w:cs="仿宋_GB2312"/>
                <w:sz w:val="32"/>
                <w:szCs w:val="32"/>
                <w:lang w:val="en-US" w:eastAsia="zh-CN"/>
              </w:rPr>
              <w:t>许昌市胖东来天使城生活服务圈公共停车及配套设施提升工程设计比选</w:t>
            </w:r>
          </w:p>
        </w:tc>
      </w:tr>
      <w:tr w14:paraId="108DCD3C">
        <w:tblPrEx>
          <w:tblCellMar>
            <w:top w:w="15" w:type="dxa"/>
            <w:left w:w="15" w:type="dxa"/>
            <w:bottom w:w="15" w:type="dxa"/>
            <w:right w:w="15" w:type="dxa"/>
          </w:tblCellMar>
        </w:tblPrEx>
        <w:trPr>
          <w:trHeight w:val="1260" w:hRule="exact"/>
        </w:trPr>
        <w:tc>
          <w:tcPr>
            <w:tcW w:w="3200" w:type="dxa"/>
            <w:tcBorders>
              <w:top w:val="single" w:color="000000" w:sz="4" w:space="0"/>
              <w:left w:val="single" w:color="000000" w:sz="4" w:space="0"/>
              <w:right w:val="single" w:color="000000" w:sz="4" w:space="0"/>
            </w:tcBorders>
            <w:vAlign w:val="center"/>
          </w:tcPr>
          <w:p w14:paraId="038567A8">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0"/>
                <w:sz w:val="32"/>
                <w:szCs w:val="32"/>
                <w:lang w:bidi="ar"/>
              </w:rPr>
              <w:t>申请人</w:t>
            </w:r>
          </w:p>
        </w:tc>
        <w:tc>
          <w:tcPr>
            <w:tcW w:w="5483" w:type="dxa"/>
            <w:tcBorders>
              <w:top w:val="single" w:color="000000" w:sz="4" w:space="0"/>
              <w:left w:val="single" w:color="000000" w:sz="4" w:space="0"/>
              <w:bottom w:val="single" w:color="000000" w:sz="4" w:space="0"/>
              <w:right w:val="single" w:color="000000" w:sz="4" w:space="0"/>
            </w:tcBorders>
            <w:vAlign w:val="center"/>
          </w:tcPr>
          <w:p w14:paraId="4EA5D0B8">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r>
              <w:rPr>
                <w:rFonts w:hint="eastAsia" w:ascii="仿宋_GB2312" w:hAnsi="宋体" w:eastAsia="仿宋_GB2312" w:cs="仿宋_GB2312"/>
                <w:b w:val="0"/>
                <w:bCs/>
                <w:color w:val="000000"/>
                <w:sz w:val="32"/>
                <w:szCs w:val="32"/>
                <w:lang w:val="en-US" w:eastAsia="zh-CN"/>
              </w:rPr>
              <w:t>公司名称***</w:t>
            </w:r>
          </w:p>
        </w:tc>
      </w:tr>
      <w:tr w14:paraId="13721904">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0FE1E988">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申请人资质</w:t>
            </w:r>
          </w:p>
        </w:tc>
        <w:tc>
          <w:tcPr>
            <w:tcW w:w="5483" w:type="dxa"/>
            <w:tcBorders>
              <w:top w:val="single" w:color="000000" w:sz="4" w:space="0"/>
              <w:left w:val="single" w:color="000000" w:sz="4" w:space="0"/>
              <w:bottom w:val="single" w:color="000000" w:sz="4" w:space="0"/>
              <w:right w:val="single" w:color="000000" w:sz="4" w:space="0"/>
            </w:tcBorders>
            <w:vAlign w:val="center"/>
          </w:tcPr>
          <w:p w14:paraId="70A58CBD">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p>
        </w:tc>
      </w:tr>
      <w:tr w14:paraId="0D2EDD31">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3A2607CE">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项目负责人（职务）</w:t>
            </w:r>
          </w:p>
        </w:tc>
        <w:tc>
          <w:tcPr>
            <w:tcW w:w="5483" w:type="dxa"/>
            <w:tcBorders>
              <w:top w:val="single" w:color="000000" w:sz="4" w:space="0"/>
              <w:left w:val="single" w:color="000000" w:sz="4" w:space="0"/>
              <w:bottom w:val="single" w:color="000000" w:sz="4" w:space="0"/>
              <w:right w:val="single" w:color="000000" w:sz="4" w:space="0"/>
            </w:tcBorders>
            <w:vAlign w:val="center"/>
          </w:tcPr>
          <w:p w14:paraId="0A9C9A76">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p>
        </w:tc>
      </w:tr>
      <w:tr w14:paraId="0A62A867">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363931EC">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val="en-US" w:eastAsia="zh-CN" w:bidi="ar"/>
              </w:rPr>
            </w:pPr>
            <w:r>
              <w:rPr>
                <w:rFonts w:hint="default" w:ascii="Times New Roman" w:hAnsi="Times New Roman" w:eastAsia="仿宋_GB2312" w:cs="Times New Roman"/>
                <w:b/>
                <w:color w:val="000000"/>
                <w:kern w:val="0"/>
                <w:sz w:val="32"/>
                <w:szCs w:val="32"/>
                <w:lang w:val="en-US" w:eastAsia="zh-CN" w:bidi="ar"/>
              </w:rPr>
              <w:t>项目工作内容</w:t>
            </w:r>
          </w:p>
        </w:tc>
        <w:tc>
          <w:tcPr>
            <w:tcW w:w="5483" w:type="dxa"/>
            <w:tcBorders>
              <w:top w:val="single" w:color="000000" w:sz="4" w:space="0"/>
              <w:left w:val="single" w:color="000000" w:sz="4" w:space="0"/>
              <w:bottom w:val="single" w:color="000000" w:sz="4" w:space="0"/>
              <w:right w:val="single" w:color="000000" w:sz="4" w:space="0"/>
            </w:tcBorders>
            <w:vAlign w:val="center"/>
          </w:tcPr>
          <w:p w14:paraId="78E707FB">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p>
        </w:tc>
      </w:tr>
      <w:tr w14:paraId="041B65D4">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2CA1AFF2">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报价</w:t>
            </w:r>
          </w:p>
        </w:tc>
        <w:tc>
          <w:tcPr>
            <w:tcW w:w="5483" w:type="dxa"/>
            <w:tcBorders>
              <w:top w:val="single" w:color="000000" w:sz="4" w:space="0"/>
              <w:left w:val="single" w:color="000000" w:sz="4" w:space="0"/>
              <w:bottom w:val="single" w:color="000000" w:sz="4" w:space="0"/>
              <w:right w:val="single" w:color="000000" w:sz="4" w:space="0"/>
            </w:tcBorders>
            <w:vAlign w:val="center"/>
          </w:tcPr>
          <w:p w14:paraId="3343B926">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val="en-US" w:bidi="ar"/>
              </w:rPr>
            </w:pP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万元（含税）</w:t>
            </w:r>
          </w:p>
        </w:tc>
      </w:tr>
    </w:tbl>
    <w:p w14:paraId="4252B442">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
      </w:pPr>
    </w:p>
    <w:p w14:paraId="5DC3783B">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
      </w:pPr>
    </w:p>
    <w:p w14:paraId="7D187FCF">
      <w:pPr>
        <w:pStyle w:val="3"/>
        <w:ind w:firstLine="5461" w:firstLineChars="17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年    月    日</w:t>
      </w:r>
    </w:p>
    <w:p w14:paraId="12DD6B8D">
      <w:pPr>
        <w:rPr>
          <w:rFonts w:hint="default" w:ascii="Times New Roman" w:hAnsi="Times New Roman" w:eastAsia="仿宋_GB2312" w:cs="Times New Roman"/>
          <w:sz w:val="32"/>
          <w:szCs w:val="32"/>
          <w:highlight w:val="none"/>
          <w:lang w:val="en-US" w:eastAsia="zh-CN"/>
        </w:rPr>
      </w:pPr>
    </w:p>
    <w:p w14:paraId="4CC7C5F6">
      <w:pPr>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附件2</w:t>
      </w:r>
    </w:p>
    <w:p w14:paraId="62E5ABB6">
      <w:pPr>
        <w:pStyle w:val="8"/>
        <w:spacing w:line="240" w:lineRule="auto"/>
        <w:ind w:firstLine="0" w:firstLineChars="0"/>
        <w:contextualSpacing/>
        <w:jc w:val="center"/>
        <w:rPr>
          <w:rFonts w:hint="default" w:ascii="Times New Roman" w:hAnsi="Times New Roman" w:eastAsia="方正小标宋简体" w:cs="Times New Roman"/>
          <w:b w:val="0"/>
          <w:bCs/>
          <w:sz w:val="44"/>
          <w:szCs w:val="44"/>
          <w:lang w:val="zh-CN"/>
        </w:rPr>
      </w:pPr>
      <w:r>
        <w:rPr>
          <w:rFonts w:hint="default" w:ascii="Times New Roman" w:hAnsi="Times New Roman" w:eastAsia="方正小标宋简体" w:cs="Times New Roman"/>
          <w:b w:val="0"/>
          <w:bCs/>
          <w:sz w:val="44"/>
          <w:szCs w:val="44"/>
          <w:lang w:val="zh-CN"/>
        </w:rPr>
        <w:t>评标标准</w:t>
      </w:r>
    </w:p>
    <w:p w14:paraId="4A3E632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一、资格审查</w:t>
      </w:r>
    </w:p>
    <w:p w14:paraId="6389A1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FF0000"/>
          <w:sz w:val="32"/>
          <w:szCs w:val="32"/>
          <w:lang w:val="zh-CN" w:eastAsia="zh-CN"/>
        </w:rPr>
      </w:pPr>
      <w:r>
        <w:rPr>
          <w:rFonts w:hint="default" w:ascii="Times New Roman" w:hAnsi="Times New Roman" w:eastAsia="仿宋_GB2312" w:cs="Times New Roman"/>
          <w:sz w:val="32"/>
          <w:szCs w:val="32"/>
          <w:lang w:eastAsia="zh-CN"/>
        </w:rPr>
        <w:t>评审小组对</w:t>
      </w:r>
      <w:r>
        <w:rPr>
          <w:rFonts w:hint="default"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lang w:eastAsia="zh-CN"/>
        </w:rPr>
        <w:t>人资格进行检查。</w:t>
      </w:r>
      <w:r>
        <w:rPr>
          <w:rFonts w:hint="default" w:ascii="Times New Roman" w:hAnsi="Times New Roman" w:eastAsia="仿宋_GB2312" w:cs="Times New Roman"/>
          <w:sz w:val="32"/>
          <w:szCs w:val="32"/>
          <w:lang w:val="zh-CN" w:eastAsia="zh-CN"/>
        </w:rPr>
        <w:t>确定符合资格的</w:t>
      </w:r>
      <w:r>
        <w:rPr>
          <w:rFonts w:hint="default"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lang w:val="zh-CN" w:eastAsia="zh-CN"/>
        </w:rPr>
        <w:t>人不少于3</w:t>
      </w:r>
      <w:r>
        <w:rPr>
          <w:rFonts w:hint="default" w:ascii="Times New Roman" w:hAnsi="Times New Roman" w:eastAsia="仿宋_GB2312" w:cs="Times New Roman"/>
          <w:color w:val="auto"/>
          <w:sz w:val="32"/>
          <w:szCs w:val="32"/>
          <w:lang w:val="zh-CN" w:eastAsia="zh-CN"/>
        </w:rPr>
        <w:t>家后对投标文件进行符合性审查，</w:t>
      </w:r>
      <w:r>
        <w:rPr>
          <w:rFonts w:hint="default" w:ascii="Times New Roman" w:hAnsi="Times New Roman" w:eastAsia="仿宋_GB2312" w:cs="Times New Roman"/>
          <w:color w:val="auto"/>
          <w:sz w:val="32"/>
          <w:szCs w:val="32"/>
          <w:lang w:val="en-US" w:eastAsia="zh-CN"/>
        </w:rPr>
        <w:t>少于三家则本次评标过程无效</w:t>
      </w:r>
      <w:r>
        <w:rPr>
          <w:rFonts w:hint="default" w:ascii="Times New Roman" w:hAnsi="Times New Roman" w:eastAsia="仿宋_GB2312" w:cs="Times New Roman"/>
          <w:color w:val="auto"/>
          <w:sz w:val="32"/>
          <w:szCs w:val="32"/>
          <w:lang w:val="zh-CN" w:eastAsia="zh-CN"/>
        </w:rPr>
        <w:t>。</w:t>
      </w:r>
    </w:p>
    <w:p w14:paraId="36E2B09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二、评审</w:t>
      </w:r>
    </w:p>
    <w:p w14:paraId="3BED5BC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（一）评审方法</w:t>
      </w:r>
    </w:p>
    <w:p w14:paraId="4A992CD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本项目采用综合评分法。总分为 100 分。</w:t>
      </w:r>
    </w:p>
    <w:p w14:paraId="01E9049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（二）评分办法</w:t>
      </w:r>
    </w:p>
    <w:tbl>
      <w:tblPr>
        <w:tblStyle w:val="14"/>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7863"/>
      </w:tblGrid>
      <w:tr w14:paraId="44F4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04" w:type="dxa"/>
            <w:vAlign w:val="center"/>
          </w:tcPr>
          <w:p w14:paraId="24A6E6A5">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分值构成</w:t>
            </w:r>
          </w:p>
          <w:p w14:paraId="23C6BA0B">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(总分100分)</w:t>
            </w:r>
          </w:p>
        </w:tc>
        <w:tc>
          <w:tcPr>
            <w:tcW w:w="7863" w:type="dxa"/>
            <w:vAlign w:val="center"/>
          </w:tcPr>
          <w:p w14:paraId="1406EA73">
            <w:pPr>
              <w:widowControl/>
              <w:adjustRightInd w:val="0"/>
              <w:snapToGrid w:val="0"/>
              <w:spacing w:line="276" w:lineRule="auto"/>
              <w:jc w:val="left"/>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企业报价：</w:t>
            </w:r>
            <w:r>
              <w:rPr>
                <w:rFonts w:hint="default" w:ascii="Times New Roman" w:hAnsi="Times New Roman" w:eastAsia="仿宋_GB2312" w:cs="Times New Roman"/>
                <w:sz w:val="32"/>
                <w:szCs w:val="32"/>
                <w:lang w:val="en-US" w:eastAsia="zh-CN"/>
              </w:rPr>
              <w:t xml:space="preserve"> 30 </w:t>
            </w:r>
            <w:r>
              <w:rPr>
                <w:rFonts w:hint="default" w:ascii="Times New Roman" w:hAnsi="Times New Roman" w:eastAsia="仿宋_GB2312" w:cs="Times New Roman"/>
                <w:sz w:val="32"/>
                <w:szCs w:val="32"/>
                <w:lang w:val="zh-CN"/>
              </w:rPr>
              <w:t>分</w:t>
            </w:r>
          </w:p>
          <w:p w14:paraId="6D1C8599">
            <w:pPr>
              <w:widowControl/>
              <w:adjustRightInd w:val="0"/>
              <w:snapToGrid w:val="0"/>
              <w:spacing w:line="276" w:lineRule="auto"/>
              <w:jc w:val="left"/>
              <w:rPr>
                <w:rFonts w:hint="default" w:ascii="Times New Roman" w:hAnsi="Times New Roman" w:eastAsia="仿宋_GB2312" w:cs="Times New Roman"/>
                <w:sz w:val="32"/>
                <w:szCs w:val="32"/>
                <w:lang w:val="zh-CN" w:eastAsia="zh-CN"/>
              </w:rPr>
            </w:pPr>
            <w:bookmarkStart w:id="0" w:name="OLE_LINK1"/>
            <w:r>
              <w:rPr>
                <w:rFonts w:hint="default" w:ascii="Times New Roman" w:hAnsi="Times New Roman" w:eastAsia="仿宋_GB2312" w:cs="Times New Roman"/>
                <w:sz w:val="32"/>
                <w:szCs w:val="32"/>
                <w:lang w:val="en-US" w:eastAsia="zh-CN"/>
              </w:rPr>
              <w:t>服务</w:t>
            </w:r>
            <w:bookmarkEnd w:id="0"/>
            <w:r>
              <w:rPr>
                <w:rFonts w:hint="default" w:ascii="Times New Roman" w:hAnsi="Times New Roman" w:eastAsia="仿宋_GB2312" w:cs="Times New Roman"/>
                <w:sz w:val="32"/>
                <w:szCs w:val="32"/>
                <w:lang w:val="en-US" w:eastAsia="zh-CN"/>
              </w:rPr>
              <w:t>方案</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 xml:space="preserve"> 30</w:t>
            </w:r>
            <w:r>
              <w:rPr>
                <w:rFonts w:hint="default" w:ascii="Times New Roman" w:hAnsi="Times New Roman" w:eastAsia="仿宋_GB2312" w:cs="Times New Roman"/>
                <w:sz w:val="32"/>
                <w:szCs w:val="32"/>
                <w:lang w:val="zh-CN" w:eastAsia="zh-CN"/>
              </w:rPr>
              <w:t xml:space="preserve"> 分</w:t>
            </w:r>
          </w:p>
          <w:p w14:paraId="0D2CA510">
            <w:pPr>
              <w:widowControl/>
              <w:adjustRightInd w:val="0"/>
              <w:snapToGrid w:val="0"/>
              <w:spacing w:line="276" w:lineRule="auto"/>
              <w:jc w:val="left"/>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企业业绩</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 xml:space="preserve"> 20 </w:t>
            </w:r>
            <w:r>
              <w:rPr>
                <w:rFonts w:hint="default" w:ascii="Times New Roman" w:hAnsi="Times New Roman" w:eastAsia="仿宋_GB2312" w:cs="Times New Roman"/>
                <w:sz w:val="32"/>
                <w:szCs w:val="32"/>
                <w:lang w:val="zh-CN" w:eastAsia="zh-CN"/>
              </w:rPr>
              <w:t>分</w:t>
            </w:r>
          </w:p>
          <w:p w14:paraId="0A8B6F8C">
            <w:pPr>
              <w:widowControl/>
              <w:adjustRightInd w:val="0"/>
              <w:snapToGrid w:val="0"/>
              <w:spacing w:line="276" w:lineRule="auto"/>
              <w:jc w:val="left"/>
              <w:rPr>
                <w:rFonts w:hint="default" w:ascii="Times New Roman" w:hAnsi="Times New Roman" w:cs="Times New Roman"/>
                <w:lang w:val="en-US"/>
              </w:rPr>
            </w:pPr>
            <w:r>
              <w:rPr>
                <w:rFonts w:hint="default" w:ascii="Times New Roman" w:hAnsi="Times New Roman" w:eastAsia="仿宋_GB2312" w:cs="Times New Roman"/>
                <w:sz w:val="32"/>
                <w:szCs w:val="32"/>
                <w:lang w:val="en-US" w:eastAsia="zh-CN"/>
              </w:rPr>
              <w:t>管理机构： 20 分</w:t>
            </w:r>
          </w:p>
        </w:tc>
      </w:tr>
      <w:tr w14:paraId="10D2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304" w:type="dxa"/>
            <w:tcMar>
              <w:top w:w="0" w:type="dxa"/>
              <w:left w:w="0" w:type="dxa"/>
              <w:bottom w:w="0" w:type="dxa"/>
              <w:right w:w="0" w:type="dxa"/>
            </w:tcMar>
            <w:vAlign w:val="center"/>
          </w:tcPr>
          <w:p w14:paraId="35DD149B">
            <w:pPr>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评审项</w:t>
            </w:r>
          </w:p>
        </w:tc>
        <w:tc>
          <w:tcPr>
            <w:tcW w:w="7863" w:type="dxa"/>
            <w:tcMar>
              <w:top w:w="0" w:type="dxa"/>
              <w:left w:w="0" w:type="dxa"/>
              <w:bottom w:w="0" w:type="dxa"/>
              <w:right w:w="0" w:type="dxa"/>
            </w:tcMar>
            <w:vAlign w:val="center"/>
          </w:tcPr>
          <w:p w14:paraId="49B1383C">
            <w:pPr>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评标标准</w:t>
            </w:r>
          </w:p>
        </w:tc>
      </w:tr>
      <w:tr w14:paraId="22AA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304" w:type="dxa"/>
            <w:tcMar>
              <w:top w:w="0" w:type="dxa"/>
              <w:left w:w="0" w:type="dxa"/>
              <w:bottom w:w="0" w:type="dxa"/>
              <w:right w:w="0" w:type="dxa"/>
            </w:tcMar>
            <w:vAlign w:val="center"/>
          </w:tcPr>
          <w:p w14:paraId="56349F1D">
            <w:pPr>
              <w:adjustRightInd w:val="0"/>
              <w:snapToGrid w:val="0"/>
              <w:spacing w:line="276"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报价</w:t>
            </w:r>
          </w:p>
          <w:p w14:paraId="1267EE7F">
            <w:pPr>
              <w:adjustRightInd w:val="0"/>
              <w:snapToGrid w:val="0"/>
              <w:spacing w:line="276"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分）</w:t>
            </w:r>
          </w:p>
        </w:tc>
        <w:tc>
          <w:tcPr>
            <w:tcW w:w="7863" w:type="dxa"/>
            <w:tcMar>
              <w:top w:w="0" w:type="dxa"/>
              <w:left w:w="0" w:type="dxa"/>
              <w:bottom w:w="0" w:type="dxa"/>
              <w:right w:w="0" w:type="dxa"/>
            </w:tcMar>
            <w:vAlign w:val="center"/>
          </w:tcPr>
          <w:p w14:paraId="5DD7A5B9">
            <w:pPr>
              <w:widowControl/>
              <w:numPr>
                <w:ilvl w:val="0"/>
                <w:numId w:val="2"/>
              </w:numPr>
              <w:adjustRightInd w:val="0"/>
              <w:snapToGrid w:val="0"/>
              <w:spacing w:line="276" w:lineRule="auto"/>
              <w:jc w:val="left"/>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lang w:val="zh-CN"/>
              </w:rPr>
              <w:t>投标报价高于控制价的为无效报价</w:t>
            </w:r>
            <w:r>
              <w:rPr>
                <w:rFonts w:hint="default" w:ascii="Times New Roman" w:hAnsi="Times New Roman" w:eastAsia="仿宋_GB2312" w:cs="Times New Roman"/>
                <w:sz w:val="32"/>
                <w:szCs w:val="32"/>
              </w:rPr>
              <w:t>；</w:t>
            </w:r>
          </w:p>
          <w:p w14:paraId="4F56BB5A">
            <w:pPr>
              <w:widowControl/>
              <w:adjustRightInd w:val="0"/>
              <w:snapToGrid w:val="0"/>
              <w:spacing w:line="276" w:lineRule="auto"/>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.所有参与的</w:t>
            </w:r>
            <w:r>
              <w:rPr>
                <w:rFonts w:hint="default" w:ascii="Times New Roman" w:hAnsi="Times New Roman" w:eastAsia="仿宋_GB2312" w:cs="Times New Roman"/>
                <w:sz w:val="32"/>
                <w:szCs w:val="32"/>
                <w:lang w:eastAsia="zh-CN"/>
              </w:rPr>
              <w:t>比选</w:t>
            </w:r>
            <w:r>
              <w:rPr>
                <w:rFonts w:hint="default" w:ascii="Times New Roman" w:hAnsi="Times New Roman" w:eastAsia="仿宋_GB2312" w:cs="Times New Roman"/>
                <w:sz w:val="32"/>
                <w:szCs w:val="32"/>
              </w:rPr>
              <w:t>申请人最低的有效报价为基准报价；</w:t>
            </w:r>
          </w:p>
          <w:p w14:paraId="2F22DED6">
            <w:pPr>
              <w:widowControl/>
              <w:adjustRightInd w:val="0"/>
              <w:snapToGrid w:val="0"/>
              <w:spacing w:line="276" w:lineRule="auto"/>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.报价得分=（基准报价/报价）×</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0分。</w:t>
            </w:r>
          </w:p>
        </w:tc>
      </w:tr>
      <w:tr w14:paraId="12A3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2304" w:type="dxa"/>
            <w:tcMar>
              <w:top w:w="0" w:type="dxa"/>
              <w:left w:w="0" w:type="dxa"/>
              <w:bottom w:w="0" w:type="dxa"/>
              <w:right w:w="0" w:type="dxa"/>
            </w:tcMar>
            <w:vAlign w:val="center"/>
          </w:tcPr>
          <w:p w14:paraId="54743E4A">
            <w:pPr>
              <w:adjustRightInd w:val="0"/>
              <w:snapToGrid w:val="0"/>
              <w:spacing w:line="276" w:lineRule="auto"/>
              <w:jc w:val="center"/>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服务</w:t>
            </w:r>
            <w:r>
              <w:rPr>
                <w:rFonts w:hint="default" w:ascii="Times New Roman" w:hAnsi="Times New Roman" w:eastAsia="仿宋_GB2312" w:cs="Times New Roman"/>
                <w:color w:val="auto"/>
                <w:sz w:val="32"/>
                <w:szCs w:val="32"/>
                <w:lang w:val="en-US" w:eastAsia="zh-CN"/>
              </w:rPr>
              <w:t>方案</w:t>
            </w:r>
          </w:p>
          <w:p w14:paraId="43AB28FC">
            <w:pPr>
              <w:adjustRightInd w:val="0"/>
              <w:snapToGrid w:val="0"/>
              <w:spacing w:line="276" w:lineRule="auto"/>
              <w:jc w:val="center"/>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auto"/>
                <w:sz w:val="32"/>
                <w:szCs w:val="32"/>
                <w:lang w:val="en-US" w:eastAsia="zh-CN"/>
              </w:rPr>
              <w:t>（30分）</w:t>
            </w:r>
          </w:p>
        </w:tc>
        <w:tc>
          <w:tcPr>
            <w:tcW w:w="7863" w:type="dxa"/>
            <w:tcMar>
              <w:top w:w="0" w:type="dxa"/>
              <w:left w:w="0" w:type="dxa"/>
              <w:bottom w:w="0" w:type="dxa"/>
              <w:right w:w="0" w:type="dxa"/>
            </w:tcMar>
            <w:vAlign w:val="center"/>
          </w:tcPr>
          <w:p w14:paraId="773FFA78">
            <w:pPr>
              <w:widowControl/>
              <w:numPr>
                <w:ilvl w:val="0"/>
                <w:numId w:val="0"/>
              </w:numPr>
              <w:adjustRightInd w:val="0"/>
              <w:snapToGrid w:val="0"/>
              <w:spacing w:line="276" w:lineRule="auto"/>
              <w:ind w:leftChars="0"/>
              <w:jc w:val="both"/>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1.阐述针对本项目的设计</w:t>
            </w:r>
            <w:r>
              <w:rPr>
                <w:rFonts w:hint="eastAsia" w:eastAsia="仿宋_GB2312" w:cs="Times New Roman"/>
                <w:sz w:val="32"/>
                <w:szCs w:val="32"/>
                <w:lang w:val="en-US" w:eastAsia="zh-CN"/>
              </w:rPr>
              <w:t>方案</w:t>
            </w:r>
            <w:r>
              <w:rPr>
                <w:rFonts w:hint="default" w:ascii="Times New Roman" w:hAnsi="Times New Roman" w:eastAsia="仿宋_GB2312" w:cs="Times New Roman"/>
                <w:sz w:val="32"/>
                <w:szCs w:val="32"/>
                <w:lang w:val="zh-CN" w:eastAsia="zh-CN"/>
              </w:rPr>
              <w:t>（0-6分）；</w:t>
            </w:r>
          </w:p>
          <w:p w14:paraId="0103FFC3">
            <w:pPr>
              <w:widowControl/>
              <w:numPr>
                <w:ilvl w:val="0"/>
                <w:numId w:val="0"/>
              </w:numPr>
              <w:adjustRightInd w:val="0"/>
              <w:snapToGrid w:val="0"/>
              <w:spacing w:line="276" w:lineRule="auto"/>
              <w:ind w:leftChars="0"/>
              <w:jc w:val="both"/>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2.阐述质量保障措施（0-6分）；</w:t>
            </w:r>
          </w:p>
          <w:p w14:paraId="45DB7F5E">
            <w:pPr>
              <w:widowControl/>
              <w:numPr>
                <w:ilvl w:val="0"/>
                <w:numId w:val="0"/>
              </w:numPr>
              <w:adjustRightInd w:val="0"/>
              <w:snapToGrid w:val="0"/>
              <w:spacing w:line="276" w:lineRule="auto"/>
              <w:ind w:leftChars="0"/>
              <w:jc w:val="both"/>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sz w:val="32"/>
                <w:szCs w:val="32"/>
                <w:lang w:val="zh-CN" w:eastAsia="zh-CN"/>
              </w:rPr>
              <w:t>3.重难点分析：</w:t>
            </w:r>
            <w:r>
              <w:rPr>
                <w:rFonts w:hint="eastAsia" w:eastAsia="仿宋_GB2312" w:cs="Times New Roman"/>
                <w:sz w:val="32"/>
                <w:szCs w:val="32"/>
                <w:lang w:val="en-US" w:eastAsia="zh-CN"/>
              </w:rPr>
              <w:t>包含</w:t>
            </w:r>
            <w:r>
              <w:rPr>
                <w:rFonts w:hint="default" w:ascii="Times New Roman" w:hAnsi="Times New Roman" w:eastAsia="仿宋_GB2312" w:cs="Times New Roman"/>
                <w:color w:val="auto"/>
                <w:sz w:val="32"/>
                <w:szCs w:val="32"/>
                <w:lang w:val="zh-CN" w:eastAsia="zh-CN"/>
              </w:rPr>
              <w:t>项目</w:t>
            </w:r>
            <w:r>
              <w:rPr>
                <w:rFonts w:hint="eastAsia" w:eastAsia="仿宋_GB2312" w:cs="Times New Roman"/>
                <w:color w:val="auto"/>
                <w:sz w:val="32"/>
                <w:szCs w:val="32"/>
                <w:lang w:val="zh-CN" w:eastAsia="zh-CN"/>
              </w:rPr>
              <w:t>的</w:t>
            </w:r>
            <w:r>
              <w:rPr>
                <w:rFonts w:hint="default" w:ascii="Times New Roman" w:hAnsi="Times New Roman" w:eastAsia="仿宋_GB2312" w:cs="Times New Roman"/>
                <w:color w:val="auto"/>
                <w:sz w:val="32"/>
                <w:szCs w:val="32"/>
                <w:lang w:val="zh-CN" w:eastAsia="zh-CN"/>
              </w:rPr>
              <w:t>重难点</w:t>
            </w:r>
            <w:r>
              <w:rPr>
                <w:rFonts w:hint="eastAsia" w:eastAsia="仿宋_GB2312" w:cs="Times New Roman"/>
                <w:color w:val="auto"/>
                <w:sz w:val="32"/>
                <w:szCs w:val="32"/>
                <w:lang w:val="en-US" w:eastAsia="zh-CN"/>
              </w:rPr>
              <w:t>，施工阶段的配合措施及时间承诺</w:t>
            </w:r>
            <w:r>
              <w:rPr>
                <w:rFonts w:hint="default" w:ascii="Times New Roman" w:hAnsi="Times New Roman" w:eastAsia="仿宋_GB2312" w:cs="Times New Roman"/>
                <w:color w:val="auto"/>
                <w:sz w:val="32"/>
                <w:szCs w:val="32"/>
                <w:lang w:val="zh-CN" w:eastAsia="zh-CN"/>
              </w:rPr>
              <w:t>（0-6分）；</w:t>
            </w:r>
          </w:p>
          <w:p w14:paraId="581D6EC1">
            <w:pPr>
              <w:widowControl/>
              <w:numPr>
                <w:ilvl w:val="0"/>
                <w:numId w:val="0"/>
              </w:numPr>
              <w:adjustRightInd w:val="0"/>
              <w:snapToGrid w:val="0"/>
              <w:spacing w:line="276" w:lineRule="auto"/>
              <w:ind w:leftChars="0"/>
              <w:jc w:val="both"/>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4.保密措施及档案管理制度（0-6分）；</w:t>
            </w:r>
          </w:p>
          <w:p w14:paraId="54FEE632">
            <w:pPr>
              <w:widowControl/>
              <w:adjustRightInd w:val="0"/>
              <w:snapToGrid w:val="0"/>
              <w:spacing w:line="276" w:lineRule="auto"/>
              <w:jc w:val="left"/>
              <w:rPr>
                <w:rFonts w:hint="default"/>
                <w:lang w:val="zh-CN"/>
              </w:rPr>
            </w:pPr>
            <w:r>
              <w:rPr>
                <w:rFonts w:hint="default" w:ascii="Times New Roman" w:hAnsi="Times New Roman" w:eastAsia="仿宋_GB2312" w:cs="Times New Roman"/>
                <w:sz w:val="32"/>
                <w:szCs w:val="32"/>
                <w:lang w:val="zh-CN" w:eastAsia="zh-CN"/>
              </w:rPr>
              <w:t>5.服务承诺：保证拟派的项目负责人及项目部成员常驻项目驻地的人数不低于3人，积极配合</w:t>
            </w:r>
            <w:r>
              <w:rPr>
                <w:rFonts w:hint="default" w:ascii="Times New Roman" w:hAnsi="Times New Roman" w:eastAsia="仿宋_GB2312" w:cs="Times New Roman"/>
                <w:sz w:val="32"/>
                <w:szCs w:val="32"/>
                <w:lang w:val="en-US" w:eastAsia="zh-CN"/>
              </w:rPr>
              <w:t>采购人</w:t>
            </w:r>
            <w:r>
              <w:rPr>
                <w:rFonts w:hint="default" w:ascii="Times New Roman" w:hAnsi="Times New Roman" w:eastAsia="仿宋_GB2312" w:cs="Times New Roman"/>
                <w:sz w:val="32"/>
                <w:szCs w:val="32"/>
                <w:lang w:val="zh-CN" w:eastAsia="zh-CN"/>
              </w:rPr>
              <w:t>工作。无此项承诺的不得分。（0-6分）。</w:t>
            </w:r>
          </w:p>
        </w:tc>
      </w:tr>
      <w:tr w14:paraId="723C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2304" w:type="dxa"/>
            <w:tcMar>
              <w:top w:w="0" w:type="dxa"/>
              <w:left w:w="0" w:type="dxa"/>
              <w:bottom w:w="0" w:type="dxa"/>
              <w:right w:w="0" w:type="dxa"/>
            </w:tcMar>
            <w:vAlign w:val="center"/>
          </w:tcPr>
          <w:p w14:paraId="63F24723">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企业业绩</w:t>
            </w:r>
          </w:p>
          <w:p w14:paraId="26334CBA">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（20分）</w:t>
            </w:r>
          </w:p>
        </w:tc>
        <w:tc>
          <w:tcPr>
            <w:tcW w:w="7863" w:type="dxa"/>
            <w:tcMar>
              <w:top w:w="0" w:type="dxa"/>
              <w:left w:w="0" w:type="dxa"/>
              <w:bottom w:w="0" w:type="dxa"/>
              <w:right w:w="0" w:type="dxa"/>
            </w:tcMar>
            <w:vAlign w:val="center"/>
          </w:tcPr>
          <w:p w14:paraId="24D26F38">
            <w:pPr>
              <w:widowControl/>
              <w:numPr>
                <w:ilvl w:val="0"/>
                <w:numId w:val="0"/>
              </w:numPr>
              <w:adjustRightInd w:val="0"/>
              <w:snapToGrid w:val="0"/>
              <w:spacing w:line="276" w:lineRule="auto"/>
              <w:ind w:leftChars="0"/>
              <w:jc w:val="both"/>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企业业绩：自202</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年1月1日以来，投标人具有类似项目业绩的，每项得4分，最高得</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0分。时间以合同签订时间为准，需提供中标通知书</w:t>
            </w:r>
            <w:r>
              <w:rPr>
                <w:rFonts w:hint="eastAsia" w:ascii="Times New Roman" w:hAnsi="Times New Roman" w:eastAsia="仿宋_GB2312" w:cs="Times New Roman"/>
                <w:sz w:val="32"/>
                <w:szCs w:val="32"/>
                <w:lang w:val="en-US" w:eastAsia="zh-CN"/>
              </w:rPr>
              <w:t>（或中标结果公示）</w:t>
            </w:r>
            <w:r>
              <w:rPr>
                <w:rFonts w:hint="default" w:ascii="Times New Roman" w:hAnsi="Times New Roman" w:eastAsia="仿宋_GB2312" w:cs="Times New Roman"/>
                <w:sz w:val="32"/>
                <w:szCs w:val="32"/>
                <w:lang w:val="en-US" w:eastAsia="zh-CN"/>
              </w:rPr>
              <w:t>、合同协议书原件扫描件（或图片）。</w:t>
            </w:r>
          </w:p>
        </w:tc>
      </w:tr>
      <w:tr w14:paraId="5FB7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304" w:type="dxa"/>
            <w:tcMar>
              <w:top w:w="0" w:type="dxa"/>
              <w:left w:w="0" w:type="dxa"/>
              <w:bottom w:w="0" w:type="dxa"/>
              <w:right w:w="0" w:type="dxa"/>
            </w:tcMar>
            <w:vAlign w:val="center"/>
          </w:tcPr>
          <w:p w14:paraId="7EA67826">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管理机构</w:t>
            </w:r>
          </w:p>
          <w:p w14:paraId="6C0610BD">
            <w:pPr>
              <w:adjustRightInd w:val="0"/>
              <w:snapToGrid w:val="0"/>
              <w:spacing w:line="276" w:lineRule="auto"/>
              <w:jc w:val="center"/>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auto"/>
                <w:sz w:val="32"/>
                <w:szCs w:val="32"/>
                <w:lang w:val="en-US" w:eastAsia="zh-CN"/>
              </w:rPr>
              <w:t>（20分）</w:t>
            </w:r>
          </w:p>
        </w:tc>
        <w:tc>
          <w:tcPr>
            <w:tcW w:w="7863" w:type="dxa"/>
            <w:tcMar>
              <w:top w:w="0" w:type="dxa"/>
              <w:left w:w="0" w:type="dxa"/>
              <w:bottom w:w="0" w:type="dxa"/>
              <w:right w:w="0" w:type="dxa"/>
            </w:tcMar>
            <w:vAlign w:val="center"/>
          </w:tcPr>
          <w:p w14:paraId="2FBB83CB">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right="0" w:rightChars="0"/>
              <w:jc w:val="both"/>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1.项目负责人具有高级及以上职称</w:t>
            </w:r>
            <w:r>
              <w:rPr>
                <w:rFonts w:hint="eastAsia" w:eastAsia="仿宋_GB2312" w:cs="Times New Roman"/>
                <w:color w:val="auto"/>
                <w:sz w:val="32"/>
                <w:szCs w:val="32"/>
                <w:lang w:val="en-US" w:eastAsia="zh-CN"/>
              </w:rPr>
              <w:t>（</w:t>
            </w:r>
            <w:r>
              <w:rPr>
                <w:rFonts w:hint="eastAsia" w:ascii="Times New Roman" w:hAnsi="Times New Roman" w:eastAsia="仿宋_GB2312" w:cs="Times New Roman"/>
                <w:sz w:val="32"/>
                <w:szCs w:val="32"/>
                <w:lang w:val="en-US" w:eastAsia="zh-CN"/>
              </w:rPr>
              <w:t>道路专业</w:t>
            </w:r>
            <w:r>
              <w:rPr>
                <w:rFonts w:hint="eastAsia" w:eastAsia="仿宋_GB2312" w:cs="Times New Roman"/>
                <w:sz w:val="32"/>
                <w:szCs w:val="32"/>
                <w:lang w:val="en-US" w:eastAsia="zh-CN"/>
              </w:rPr>
              <w:t>）</w:t>
            </w:r>
            <w:r>
              <w:rPr>
                <w:rFonts w:hint="eastAsia" w:ascii="Times New Roman" w:hAnsi="Times New Roman" w:eastAsia="仿宋_GB2312" w:cs="Times New Roman"/>
                <w:color w:val="auto"/>
                <w:sz w:val="32"/>
                <w:szCs w:val="32"/>
                <w:lang w:val="en-US" w:eastAsia="zh-CN"/>
              </w:rPr>
              <w:t>，并取得注册土木工程师（道路工程）执业资格证书，得10分。</w:t>
            </w:r>
          </w:p>
          <w:p w14:paraId="0D314328">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right="0" w:rightChars="0"/>
              <w:jc w:val="both"/>
              <w:textAlignment w:val="auto"/>
              <w:outlineLvl w:val="9"/>
              <w:rPr>
                <w:rFonts w:hint="default"/>
                <w:lang w:val="en-US" w:eastAsia="zh-CN"/>
              </w:rPr>
            </w:pPr>
            <w:r>
              <w:rPr>
                <w:rFonts w:hint="eastAsia" w:ascii="Times New Roman" w:hAnsi="Times New Roman" w:eastAsia="仿宋_GB2312" w:cs="Times New Roman"/>
                <w:color w:val="auto"/>
                <w:sz w:val="32"/>
                <w:szCs w:val="32"/>
                <w:lang w:val="en-US" w:eastAsia="zh-CN"/>
              </w:rPr>
              <w:t>2.除项目负责人外，拟投入项目的人员中具有建筑、结构、给排水、电气专业注册证书，每配备一人得2分，最高得8分。注册类的造价专业人员一人，得2分。(以上人员需提供社会保险等证明材料及证书复印件)</w:t>
            </w:r>
          </w:p>
        </w:tc>
      </w:tr>
    </w:tbl>
    <w:p w14:paraId="7B799E1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w:t>
      </w:r>
      <w:r>
        <w:rPr>
          <w:rFonts w:hint="default" w:ascii="Times New Roman" w:hAnsi="Times New Roman" w:eastAsia="仿宋_GB2312" w:cs="Times New Roman"/>
          <w:b/>
          <w:bCs/>
          <w:sz w:val="32"/>
          <w:szCs w:val="32"/>
          <w:lang w:val="en-US" w:eastAsia="zh-CN"/>
        </w:rPr>
        <w:t>三</w:t>
      </w:r>
      <w:r>
        <w:rPr>
          <w:rFonts w:hint="default" w:ascii="Times New Roman" w:hAnsi="Times New Roman" w:eastAsia="仿宋_GB2312" w:cs="Times New Roman"/>
          <w:b/>
          <w:bCs/>
          <w:sz w:val="32"/>
          <w:szCs w:val="32"/>
          <w:lang w:val="zh-CN" w:eastAsia="zh-CN"/>
        </w:rPr>
        <w:t>）推荐</w:t>
      </w:r>
      <w:r>
        <w:rPr>
          <w:rFonts w:hint="default" w:ascii="Times New Roman" w:hAnsi="Times New Roman" w:eastAsia="仿宋_GB2312" w:cs="Times New Roman"/>
          <w:b/>
          <w:bCs/>
          <w:sz w:val="32"/>
          <w:szCs w:val="32"/>
          <w:lang w:val="en-US" w:eastAsia="zh-CN"/>
        </w:rPr>
        <w:t>中标</w:t>
      </w:r>
      <w:r>
        <w:rPr>
          <w:rFonts w:hint="default" w:ascii="Times New Roman" w:hAnsi="Times New Roman" w:eastAsia="仿宋_GB2312" w:cs="Times New Roman"/>
          <w:b/>
          <w:bCs/>
          <w:sz w:val="32"/>
          <w:szCs w:val="32"/>
          <w:lang w:val="zh-CN" w:eastAsia="zh-CN"/>
        </w:rPr>
        <w:t>候选人</w:t>
      </w:r>
    </w:p>
    <w:p w14:paraId="1D3066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lang w:eastAsia="zh-CN"/>
        </w:rPr>
        <w:t>比选</w:t>
      </w:r>
      <w:r>
        <w:rPr>
          <w:rFonts w:hint="eastAsia" w:ascii="仿宋_GB2312" w:hAnsi="仿宋_GB2312" w:eastAsia="仿宋_GB2312" w:cs="仿宋_GB2312"/>
          <w:sz w:val="32"/>
          <w:szCs w:val="32"/>
        </w:rPr>
        <w:t>采用综合评分法，按照得分由高到低确定候选人</w:t>
      </w:r>
      <w:r>
        <w:rPr>
          <w:rFonts w:hint="eastAsia" w:ascii="仿宋" w:hAnsi="仿宋" w:eastAsia="仿宋" w:cs="仿宋"/>
          <w:sz w:val="32"/>
          <w:szCs w:val="32"/>
          <w:highlight w:val="none"/>
          <w:lang w:val="en-US" w:eastAsia="zh-CN"/>
        </w:rPr>
        <w:t>。</w:t>
      </w:r>
    </w:p>
    <w:p w14:paraId="5BB8F7FA">
      <w:pPr>
        <w:pStyle w:val="13"/>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1E42A8D6">
      <w:pPr>
        <w:pStyle w:val="13"/>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4708ADD1">
      <w:pPr>
        <w:pStyle w:val="13"/>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7B129D79">
      <w:pPr>
        <w:pStyle w:val="13"/>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32E8B5AA">
      <w:pPr>
        <w:pStyle w:val="13"/>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53BF9A64">
      <w:pPr>
        <w:pStyle w:val="13"/>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013A8692">
      <w:pPr>
        <w:pStyle w:val="13"/>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1E04356D">
      <w:pPr>
        <w:pStyle w:val="13"/>
        <w:spacing w:before="100" w:after="100"/>
        <w:ind w:left="0" w:leftChars="0" w:firstLine="0" w:firstLineChars="0"/>
        <w:rPr>
          <w:rFonts w:hint="default" w:ascii="Times New Roman" w:hAnsi="Times New Roman" w:eastAsia="仿宋_GB2312" w:cs="Times New Roman"/>
          <w:sz w:val="32"/>
          <w:szCs w:val="32"/>
          <w:lang w:eastAsia="zh-CN"/>
        </w:rPr>
      </w:pPr>
      <w:r>
        <w:rPr>
          <w:rFonts w:hint="default" w:ascii="Times New Roman" w:hAnsi="Times New Roman" w:eastAsia="仿宋" w:cs="Times New Roman"/>
          <w:sz w:val="32"/>
          <w:szCs w:val="32"/>
          <w:highlight w:val="none"/>
          <w:lang w:val="en-US" w:eastAsia="zh-CN"/>
        </w:rPr>
        <w:t>附件3：</w:t>
      </w:r>
    </w:p>
    <w:p w14:paraId="031C240D">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廉洁</w:t>
      </w:r>
      <w:r>
        <w:rPr>
          <w:rFonts w:hint="default" w:ascii="Times New Roman" w:hAnsi="Times New Roman" w:eastAsia="方正小标宋简体" w:cs="Times New Roman"/>
          <w:sz w:val="44"/>
          <w:szCs w:val="44"/>
          <w:lang w:val="en-US" w:eastAsia="zh-CN"/>
        </w:rPr>
        <w:t>自</w:t>
      </w:r>
      <w:r>
        <w:rPr>
          <w:rFonts w:hint="default" w:ascii="Times New Roman" w:hAnsi="Times New Roman" w:eastAsia="方正小标宋简体" w:cs="Times New Roman"/>
          <w:sz w:val="44"/>
          <w:szCs w:val="44"/>
        </w:rPr>
        <w:t>律承诺书</w:t>
      </w:r>
    </w:p>
    <w:p w14:paraId="720E2947">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
      </w:pPr>
    </w:p>
    <w:p w14:paraId="3A3AE6DB">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致:</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公司</w:t>
      </w:r>
    </w:p>
    <w:p w14:paraId="44A650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为维护公平竞争的市场环境，确保经济活动的廉洁性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合法性和透明度，防止任何形式的不正当交易及腐败行为，</w:t>
      </w:r>
      <w:r>
        <w:rPr>
          <w:rFonts w:hint="default" w:ascii="Times New Roman" w:hAnsi="Times New Roman" w:eastAsia="仿宋_GB2312" w:cs="Times New Roman"/>
          <w:color w:val="auto"/>
          <w:sz w:val="32"/>
          <w:szCs w:val="32"/>
          <w:lang w:val="en-US" w:eastAsia="zh-CN"/>
        </w:rPr>
        <w:t>我单位作为投标人，郑重</w:t>
      </w:r>
      <w:r>
        <w:rPr>
          <w:rFonts w:hint="default" w:ascii="Times New Roman" w:hAnsi="Times New Roman" w:eastAsia="仿宋_GB2312" w:cs="Times New Roman"/>
          <w:color w:val="auto"/>
          <w:sz w:val="32"/>
          <w:szCs w:val="32"/>
        </w:rPr>
        <w:t>承诺</w:t>
      </w:r>
      <w:r>
        <w:rPr>
          <w:rFonts w:hint="default" w:ascii="Times New Roman" w:hAnsi="Times New Roman" w:eastAsia="仿宋_GB2312" w:cs="Times New Roman"/>
          <w:color w:val="auto"/>
          <w:sz w:val="32"/>
          <w:szCs w:val="32"/>
          <w:lang w:val="en-US" w:eastAsia="zh-CN"/>
        </w:rPr>
        <w:t>如下</w:t>
      </w:r>
      <w:r>
        <w:rPr>
          <w:rFonts w:hint="default" w:ascii="Times New Roman" w:hAnsi="Times New Roman" w:eastAsia="仿宋_GB2312" w:cs="Times New Roman"/>
          <w:color w:val="auto"/>
          <w:sz w:val="32"/>
          <w:szCs w:val="32"/>
        </w:rPr>
        <w:t>:</w:t>
      </w:r>
    </w:p>
    <w:p w14:paraId="1C40E07B">
      <w:pPr>
        <w:pStyle w:val="19"/>
        <w:keepNext w:val="0"/>
        <w:keepLines w:val="0"/>
        <w:pageBreakBefore w:val="0"/>
        <w:widowControl/>
        <w:numPr>
          <w:ilvl w:val="0"/>
          <w:numId w:val="0"/>
        </w:numPr>
        <w:kinsoku/>
        <w:wordWrap/>
        <w:overflowPunct/>
        <w:topLinePunct w:val="0"/>
        <w:autoSpaceDE/>
        <w:autoSpaceDN/>
        <w:bidi w:val="0"/>
        <w:adjustRightInd w:val="0"/>
        <w:snapToGrid w:val="0"/>
        <w:spacing w:after="0" w:afterLines="0" w:line="560" w:lineRule="exact"/>
        <w:ind w:firstLine="640" w:firstLineChars="20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严格遵守国家及地方关于招投标、市场竞争的相关法律法规，不使用不正当手段妨碍、排挤相关投标单位或串通投标</w:t>
      </w:r>
      <w:r>
        <w:rPr>
          <w:rFonts w:hint="default" w:ascii="Times New Roman" w:hAnsi="Times New Roman" w:eastAsia="仿宋_GB2312" w:cs="Times New Roman"/>
          <w:color w:val="auto"/>
          <w:sz w:val="32"/>
          <w:szCs w:val="32"/>
          <w:lang w:eastAsia="zh-CN"/>
        </w:rPr>
        <w:t>。</w:t>
      </w:r>
    </w:p>
    <w:p w14:paraId="4A0B19A8">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2.不以任何形式(包括但不限于现金、礼品、有价证券回扣、佣金、提供旅游、娱乐活动等)向招标人员、评标专家或其他</w:t>
      </w:r>
      <w:r>
        <w:rPr>
          <w:rFonts w:hint="default" w:ascii="Times New Roman" w:hAnsi="Times New Roman" w:eastAsia="仿宋_GB2312" w:cs="Times New Roman"/>
          <w:color w:val="auto"/>
          <w:sz w:val="32"/>
          <w:szCs w:val="32"/>
          <w:lang w:val="en-US" w:eastAsia="zh-CN"/>
        </w:rPr>
        <w:t>利害关系方</w:t>
      </w:r>
      <w:r>
        <w:rPr>
          <w:rFonts w:hint="default" w:ascii="Times New Roman" w:hAnsi="Times New Roman" w:eastAsia="仿宋_GB2312" w:cs="Times New Roman"/>
          <w:color w:val="auto"/>
          <w:sz w:val="32"/>
          <w:szCs w:val="32"/>
        </w:rPr>
        <w:t>进行贿赂或给予不正当利益。</w:t>
      </w:r>
    </w:p>
    <w:p w14:paraId="5CF881C8">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3.不进行任何可能影响招标公平、公正的活动或尝试干预评标过程。</w:t>
      </w:r>
    </w:p>
    <w:p w14:paraId="1C8F0B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如违反上述承诺，我单位愿意接受包括但不限于取消投标资格、中标无效、列入不良行为记录名单等，给招标单位造成损失的，依法承担赔偿责任。</w:t>
      </w:r>
    </w:p>
    <w:p w14:paraId="215A9E99">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特此承诺。</w:t>
      </w:r>
    </w:p>
    <w:p w14:paraId="162AA95B">
      <w:pPr>
        <w:ind w:firstLine="6400" w:firstLineChars="2000"/>
        <w:rPr>
          <w:rFonts w:hint="default" w:ascii="Times New Roman" w:hAnsi="Times New Roman" w:eastAsia="仿宋_GB2312" w:cs="Times New Roman"/>
          <w:sz w:val="32"/>
          <w:szCs w:val="32"/>
        </w:rPr>
      </w:pPr>
    </w:p>
    <w:p w14:paraId="578E140C">
      <w:pPr>
        <w:ind w:firstLine="4160" w:firstLineChars="1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单位名称(盖章)</w:t>
      </w:r>
    </w:p>
    <w:p w14:paraId="0824EFAA">
      <w:pPr>
        <w:ind w:firstLine="4160" w:firstLineChars="13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日期:</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1" w:fontKey="{0B210CDA-87FC-40AC-B96C-DFB1AA1520E3}"/>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22166CF8-A0E8-4D12-A57F-ABADF83D6953}"/>
  </w:font>
  <w:font w:name="仿宋">
    <w:panose1 w:val="02010609060101010101"/>
    <w:charset w:val="86"/>
    <w:family w:val="auto"/>
    <w:pitch w:val="default"/>
    <w:sig w:usb0="800002BF" w:usb1="38CF7CFA" w:usb2="00000016" w:usb3="00000000" w:csb0="00040001" w:csb1="00000000"/>
    <w:embedRegular r:id="rId3" w:fontKey="{F1610F2B-C8C7-4257-8539-1BDAD071EA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5AD80">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D4031A">
                          <w:pPr>
                            <w:pStyle w:val="9"/>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28D4031A">
                    <w:pPr>
                      <w:pStyle w:val="9"/>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pStyle w:val="2"/>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
    <w:nsid w:val="67626FEF"/>
    <w:multiLevelType w:val="singleLevel"/>
    <w:tmpl w:val="67626FE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jZGI5NzQwYWYyZTI1Nzk4NTU4YmYxNzcwZWJlZTkifQ=="/>
    <w:docVar w:name="KSO_WPS_MARK_KEY" w:val="e10be619-05dc-41cf-93cb-fd70e9d7f3f3"/>
  </w:docVars>
  <w:rsids>
    <w:rsidRoot w:val="00172A27"/>
    <w:rsid w:val="01F7022B"/>
    <w:rsid w:val="02493090"/>
    <w:rsid w:val="02FC3208"/>
    <w:rsid w:val="033A76CC"/>
    <w:rsid w:val="03B12072"/>
    <w:rsid w:val="04760788"/>
    <w:rsid w:val="0477594A"/>
    <w:rsid w:val="04E35BC2"/>
    <w:rsid w:val="0548762F"/>
    <w:rsid w:val="05682B8A"/>
    <w:rsid w:val="06290379"/>
    <w:rsid w:val="064E32DD"/>
    <w:rsid w:val="065A0AB0"/>
    <w:rsid w:val="06840264"/>
    <w:rsid w:val="07FF36BC"/>
    <w:rsid w:val="082E5202"/>
    <w:rsid w:val="08550306"/>
    <w:rsid w:val="098175B4"/>
    <w:rsid w:val="0A0F5824"/>
    <w:rsid w:val="0A2C0437"/>
    <w:rsid w:val="0BD172BE"/>
    <w:rsid w:val="0BD54F58"/>
    <w:rsid w:val="0BFD4952"/>
    <w:rsid w:val="0DCD1AE2"/>
    <w:rsid w:val="0E811A30"/>
    <w:rsid w:val="0EEC3721"/>
    <w:rsid w:val="0F1958F7"/>
    <w:rsid w:val="0F570B93"/>
    <w:rsid w:val="0FB00BF3"/>
    <w:rsid w:val="10090303"/>
    <w:rsid w:val="100B7DD6"/>
    <w:rsid w:val="10AB623B"/>
    <w:rsid w:val="117E16C8"/>
    <w:rsid w:val="11A76A70"/>
    <w:rsid w:val="12277102"/>
    <w:rsid w:val="1350281B"/>
    <w:rsid w:val="16262886"/>
    <w:rsid w:val="17342109"/>
    <w:rsid w:val="178A3202"/>
    <w:rsid w:val="17A51BCE"/>
    <w:rsid w:val="183C74C7"/>
    <w:rsid w:val="19433558"/>
    <w:rsid w:val="19CD194F"/>
    <w:rsid w:val="1B8E6686"/>
    <w:rsid w:val="1B974A15"/>
    <w:rsid w:val="1BF56DE4"/>
    <w:rsid w:val="1CEB654E"/>
    <w:rsid w:val="1D6372A4"/>
    <w:rsid w:val="1D8D4321"/>
    <w:rsid w:val="1DC22489"/>
    <w:rsid w:val="1E114F52"/>
    <w:rsid w:val="1E6710C6"/>
    <w:rsid w:val="1EF671B0"/>
    <w:rsid w:val="208512E0"/>
    <w:rsid w:val="20862B7C"/>
    <w:rsid w:val="21BC13EC"/>
    <w:rsid w:val="22284619"/>
    <w:rsid w:val="22286977"/>
    <w:rsid w:val="22900BB2"/>
    <w:rsid w:val="22C3311B"/>
    <w:rsid w:val="233C3173"/>
    <w:rsid w:val="234B5C3C"/>
    <w:rsid w:val="24C77BCA"/>
    <w:rsid w:val="250B339C"/>
    <w:rsid w:val="259D773F"/>
    <w:rsid w:val="25E22D30"/>
    <w:rsid w:val="271D0B72"/>
    <w:rsid w:val="273F192D"/>
    <w:rsid w:val="278C73F8"/>
    <w:rsid w:val="27BF38CF"/>
    <w:rsid w:val="283A6E54"/>
    <w:rsid w:val="283F1AED"/>
    <w:rsid w:val="28B62672"/>
    <w:rsid w:val="28DE5F07"/>
    <w:rsid w:val="293A3A9D"/>
    <w:rsid w:val="29E1276B"/>
    <w:rsid w:val="2A467D32"/>
    <w:rsid w:val="2AA25464"/>
    <w:rsid w:val="2BC62952"/>
    <w:rsid w:val="2C6470D6"/>
    <w:rsid w:val="2E262354"/>
    <w:rsid w:val="2EC3522E"/>
    <w:rsid w:val="306B6744"/>
    <w:rsid w:val="309143F1"/>
    <w:rsid w:val="31480833"/>
    <w:rsid w:val="31B5579D"/>
    <w:rsid w:val="3210780C"/>
    <w:rsid w:val="331104CE"/>
    <w:rsid w:val="333548FA"/>
    <w:rsid w:val="35044A71"/>
    <w:rsid w:val="350902DA"/>
    <w:rsid w:val="35431A3E"/>
    <w:rsid w:val="35496928"/>
    <w:rsid w:val="35A57E97"/>
    <w:rsid w:val="361707D4"/>
    <w:rsid w:val="366D7797"/>
    <w:rsid w:val="36EC5FD8"/>
    <w:rsid w:val="371D5052"/>
    <w:rsid w:val="379361F1"/>
    <w:rsid w:val="38275FA1"/>
    <w:rsid w:val="396F1F22"/>
    <w:rsid w:val="39B06AF4"/>
    <w:rsid w:val="3B930354"/>
    <w:rsid w:val="3BDC5466"/>
    <w:rsid w:val="3BFE6232"/>
    <w:rsid w:val="3C552351"/>
    <w:rsid w:val="3C5F6C89"/>
    <w:rsid w:val="3D1D6AF8"/>
    <w:rsid w:val="3D8D760A"/>
    <w:rsid w:val="3E5548D7"/>
    <w:rsid w:val="3FEB7AF5"/>
    <w:rsid w:val="4019654B"/>
    <w:rsid w:val="403A57EB"/>
    <w:rsid w:val="4070746C"/>
    <w:rsid w:val="41036525"/>
    <w:rsid w:val="42164AC9"/>
    <w:rsid w:val="42BA70B7"/>
    <w:rsid w:val="42C741A9"/>
    <w:rsid w:val="438D7307"/>
    <w:rsid w:val="43D83C99"/>
    <w:rsid w:val="44BB1AF2"/>
    <w:rsid w:val="44D81D43"/>
    <w:rsid w:val="454A3AE3"/>
    <w:rsid w:val="4590529B"/>
    <w:rsid w:val="461026EE"/>
    <w:rsid w:val="462F227A"/>
    <w:rsid w:val="464042EF"/>
    <w:rsid w:val="464665F3"/>
    <w:rsid w:val="469D0882"/>
    <w:rsid w:val="47370CD6"/>
    <w:rsid w:val="47B42BE7"/>
    <w:rsid w:val="47FB2A68"/>
    <w:rsid w:val="485C3F8A"/>
    <w:rsid w:val="488E647E"/>
    <w:rsid w:val="494B5293"/>
    <w:rsid w:val="499441BE"/>
    <w:rsid w:val="49BC6688"/>
    <w:rsid w:val="4A126E2F"/>
    <w:rsid w:val="4A3D2009"/>
    <w:rsid w:val="4A8D1910"/>
    <w:rsid w:val="4A9B4F45"/>
    <w:rsid w:val="4AC30AA9"/>
    <w:rsid w:val="4B2116C3"/>
    <w:rsid w:val="4BA24BCE"/>
    <w:rsid w:val="4C730593"/>
    <w:rsid w:val="4D654BD1"/>
    <w:rsid w:val="4DF23AE1"/>
    <w:rsid w:val="4ED60DD5"/>
    <w:rsid w:val="4F334112"/>
    <w:rsid w:val="4FDC1809"/>
    <w:rsid w:val="515058A2"/>
    <w:rsid w:val="51E6783E"/>
    <w:rsid w:val="52121678"/>
    <w:rsid w:val="52240C61"/>
    <w:rsid w:val="524B3888"/>
    <w:rsid w:val="55992B5C"/>
    <w:rsid w:val="55DD23B6"/>
    <w:rsid w:val="56206DD9"/>
    <w:rsid w:val="57A73FA4"/>
    <w:rsid w:val="58584F50"/>
    <w:rsid w:val="587753D7"/>
    <w:rsid w:val="589C7FC2"/>
    <w:rsid w:val="58B54151"/>
    <w:rsid w:val="58C64C3F"/>
    <w:rsid w:val="594725AD"/>
    <w:rsid w:val="596040BD"/>
    <w:rsid w:val="59893E86"/>
    <w:rsid w:val="5C6A2245"/>
    <w:rsid w:val="5CBD35D4"/>
    <w:rsid w:val="5CD1784E"/>
    <w:rsid w:val="5CF873CF"/>
    <w:rsid w:val="5DAF5613"/>
    <w:rsid w:val="5EB61C2A"/>
    <w:rsid w:val="5F661FA4"/>
    <w:rsid w:val="5F803FDA"/>
    <w:rsid w:val="5FBF2771"/>
    <w:rsid w:val="60830F1F"/>
    <w:rsid w:val="61045C75"/>
    <w:rsid w:val="61215F42"/>
    <w:rsid w:val="6139231D"/>
    <w:rsid w:val="61404326"/>
    <w:rsid w:val="61641C99"/>
    <w:rsid w:val="629E645C"/>
    <w:rsid w:val="62F72DBF"/>
    <w:rsid w:val="63B41DA5"/>
    <w:rsid w:val="64555C7B"/>
    <w:rsid w:val="647452F7"/>
    <w:rsid w:val="64C644FC"/>
    <w:rsid w:val="65541E66"/>
    <w:rsid w:val="655F1E1A"/>
    <w:rsid w:val="66374F8A"/>
    <w:rsid w:val="667C62B9"/>
    <w:rsid w:val="66867FE3"/>
    <w:rsid w:val="66C04F63"/>
    <w:rsid w:val="68F364F0"/>
    <w:rsid w:val="68F608D3"/>
    <w:rsid w:val="695E6C9F"/>
    <w:rsid w:val="69B455F6"/>
    <w:rsid w:val="69F37435"/>
    <w:rsid w:val="6A574FAB"/>
    <w:rsid w:val="6BA97B57"/>
    <w:rsid w:val="6CAC04F4"/>
    <w:rsid w:val="6CB16FD6"/>
    <w:rsid w:val="6CE657EE"/>
    <w:rsid w:val="6EF966EE"/>
    <w:rsid w:val="6F4656AB"/>
    <w:rsid w:val="6F4B4A6F"/>
    <w:rsid w:val="6F683873"/>
    <w:rsid w:val="6F963F3C"/>
    <w:rsid w:val="70722F5B"/>
    <w:rsid w:val="70D44079"/>
    <w:rsid w:val="71B86F2F"/>
    <w:rsid w:val="72316423"/>
    <w:rsid w:val="73610D05"/>
    <w:rsid w:val="74136828"/>
    <w:rsid w:val="74F314C2"/>
    <w:rsid w:val="74FE31E1"/>
    <w:rsid w:val="768D3F82"/>
    <w:rsid w:val="77E57406"/>
    <w:rsid w:val="78084DD5"/>
    <w:rsid w:val="79071AD5"/>
    <w:rsid w:val="7936673D"/>
    <w:rsid w:val="79532E9E"/>
    <w:rsid w:val="79DA0070"/>
    <w:rsid w:val="79E97840"/>
    <w:rsid w:val="7BA07EF1"/>
    <w:rsid w:val="7C222C76"/>
    <w:rsid w:val="7CE56503"/>
    <w:rsid w:val="7D3E5C13"/>
    <w:rsid w:val="7D9A72EE"/>
    <w:rsid w:val="7E080A6A"/>
    <w:rsid w:val="7E6A31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100" w:beforeLines="0" w:after="100" w:afterLines="0" w:line="240" w:lineRule="atLeast"/>
      <w:jc w:val="center"/>
      <w:outlineLvl w:val="0"/>
    </w:pPr>
    <w:rPr>
      <w:rFonts w:ascii="Times New Roman" w:hAnsi="Times New Roman"/>
      <w:b/>
      <w:bCs/>
      <w:kern w:val="44"/>
      <w:sz w:val="36"/>
      <w:szCs w:val="44"/>
    </w:rPr>
  </w:style>
  <w:style w:type="paragraph" w:styleId="3">
    <w:name w:val="heading 2"/>
    <w:basedOn w:val="1"/>
    <w:next w:val="1"/>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jc w:val="center"/>
    </w:pPr>
    <w:rPr>
      <w:rFonts w:ascii="Times New Roman" w:hAnsi="Times New Roman" w:eastAsia="黑体" w:cs="Times New Roman"/>
      <w:sz w:val="36"/>
      <w:szCs w:val="20"/>
    </w:rPr>
  </w:style>
  <w:style w:type="paragraph" w:styleId="5">
    <w:name w:val="Body Text 2"/>
    <w:basedOn w:val="1"/>
    <w:qFormat/>
    <w:uiPriority w:val="0"/>
    <w:pPr>
      <w:spacing w:line="480" w:lineRule="auto"/>
    </w:pPr>
    <w:rPr>
      <w:rFonts w:ascii="Times New Roman" w:hAnsi="Times New Roman" w:eastAsia="宋体" w:cs="Times New Roman"/>
    </w:rPr>
  </w:style>
  <w:style w:type="paragraph" w:styleId="6">
    <w:name w:val="Body Text Indent"/>
    <w:basedOn w:val="1"/>
    <w:next w:val="7"/>
    <w:qFormat/>
    <w:uiPriority w:val="99"/>
    <w:pPr>
      <w:spacing w:after="120"/>
      <w:ind w:left="420" w:leftChars="200"/>
    </w:pPr>
  </w:style>
  <w:style w:type="paragraph" w:styleId="7">
    <w:name w:val="envelope return"/>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8">
    <w:name w:val="Plain Text"/>
    <w:basedOn w:val="1"/>
    <w:qFormat/>
    <w:uiPriority w:val="0"/>
    <w:rPr>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paragraph" w:styleId="12">
    <w:name w:val="Body Text First Indent"/>
    <w:basedOn w:val="4"/>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6"/>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character" w:styleId="16">
    <w:name w:val="Hyperlink"/>
    <w:basedOn w:val="15"/>
    <w:qFormat/>
    <w:uiPriority w:val="0"/>
    <w:rPr>
      <w:color w:val="0000FF"/>
      <w:u w:val="single"/>
    </w:rPr>
  </w:style>
  <w:style w:type="paragraph" w:customStyle="1" w:styleId="17">
    <w:name w:val="__正文"/>
    <w:basedOn w:val="1"/>
    <w:qFormat/>
    <w:uiPriority w:val="0"/>
    <w:pPr>
      <w:spacing w:line="480" w:lineRule="exact"/>
      <w:ind w:firstLine="200"/>
    </w:pPr>
    <w:rPr>
      <w:rFonts w:cs="Times New Roman"/>
      <w:kern w:val="0"/>
    </w:rPr>
  </w:style>
  <w:style w:type="paragraph" w:customStyle="1" w:styleId="18">
    <w:name w:val="List Paragraph1"/>
    <w:basedOn w:val="1"/>
    <w:next w:val="1"/>
    <w:qFormat/>
    <w:uiPriority w:val="0"/>
    <w:pPr>
      <w:widowControl w:val="0"/>
      <w:autoSpaceDE/>
      <w:autoSpaceDN/>
      <w:spacing w:before="0" w:beforeLines="0" w:after="0" w:afterLines="0" w:line="240" w:lineRule="auto"/>
      <w:ind w:left="420" w:firstLine="3748"/>
      <w:jc w:val="both"/>
    </w:pPr>
  </w:style>
  <w:style w:type="paragraph" w:customStyle="1" w:styleId="19">
    <w:name w:val="Body Text First Indent"/>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1049</Words>
  <Characters>1096</Characters>
  <Lines>0</Lines>
  <Paragraphs>0</Paragraphs>
  <TotalTime>12</TotalTime>
  <ScaleCrop>false</ScaleCrop>
  <LinksUpToDate>false</LinksUpToDate>
  <CharactersWithSpaces>1122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萌萌噠</cp:lastModifiedBy>
  <cp:lastPrinted>2024-12-13T02:16:00Z</cp:lastPrinted>
  <dcterms:modified xsi:type="dcterms:W3CDTF">2026-09-21T01:41:55Z</dcterms:modified>
  <dc:title>关于许禹供热长输管线项目勘察设计招标代理机构询比采购的邀请函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6D6DB5EB6C9C4A31A7C218946B34D4C6_13</vt:lpwstr>
  </property>
  <property fmtid="{D5CDD505-2E9C-101B-9397-08002B2CF9AE}" pid="4" name="commondata">
    <vt:lpwstr>eyJoZGlkIjoiN2I0NDMxMDhhNzIxZjIxM2FiMjFkZWExNzY4MTY3OTUifQ==</vt:lpwstr>
  </property>
  <property fmtid="{D5CDD505-2E9C-101B-9397-08002B2CF9AE}" pid="5" name="KSOTemplateDocerSaveRecord">
    <vt:lpwstr>eyJoZGlkIjoiOTIyY2E1Y2MxN2RlNmU3MWE5ZTI4MTRkNjNlNGE0MTMiLCJ1c2VySWQiOiIyMjI0MzU2NzYifQ==</vt:lpwstr>
  </property>
</Properties>
</file>